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C8AFC" w14:textId="318D436A" w:rsidR="00465F2F" w:rsidRDefault="005F6A99" w:rsidP="005F6A99">
      <w:pPr>
        <w:rPr>
          <w:rFonts w:ascii="GalanoGrotesque-Bold" w:eastAsiaTheme="majorEastAsia" w:hAnsi="GalanoGrotesque-Bold" w:cstheme="majorBidi"/>
          <w:b/>
          <w:color w:val="000000" w:themeColor="text1"/>
          <w:sz w:val="40"/>
          <w:szCs w:val="40"/>
        </w:rPr>
      </w:pPr>
      <w:r w:rsidRPr="005F6A99">
        <w:rPr>
          <w:noProof/>
          <w:color w:val="864A04" w:themeColor="accent2" w:themeShade="80"/>
          <w:lang w:val="es-MX" w:eastAsia="es-MX"/>
        </w:rPr>
        <w:drawing>
          <wp:anchor distT="0" distB="0" distL="114300" distR="114300" simplePos="0" relativeHeight="252057088" behindDoc="1" locked="0" layoutInCell="1" allowOverlap="1" wp14:anchorId="1064D17D" wp14:editId="6A25654D">
            <wp:simplePos x="0" y="0"/>
            <wp:positionH relativeFrom="column">
              <wp:posOffset>104996</wp:posOffset>
            </wp:positionH>
            <wp:positionV relativeFrom="paragraph">
              <wp:posOffset>-11706</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631AF73" w14:textId="19476963" w:rsidR="00770337" w:rsidRDefault="00770337" w:rsidP="00723CF3">
      <w:pPr>
        <w:jc w:val="center"/>
        <w:rPr>
          <w:rFonts w:ascii="GalanoGrotesque-Bold" w:eastAsia="Calibri" w:hAnsi="GalanoGrotesque-Bold" w:cs="Times New Roman"/>
          <w:b/>
          <w:color w:val="000000"/>
          <w:sz w:val="32"/>
          <w:szCs w:val="32"/>
        </w:rPr>
      </w:pPr>
    </w:p>
    <w:p w14:paraId="7D36AF96" w14:textId="2C4BCED8" w:rsidR="007F3EC4" w:rsidRDefault="007F3EC4" w:rsidP="00723CF3">
      <w:pPr>
        <w:rPr>
          <w:rFonts w:ascii="GalanoGrotesque-Bold" w:eastAsia="Calibri" w:hAnsi="GalanoGrotesque-Bold" w:cs="Times New Roman"/>
          <w:b/>
          <w:color w:val="000000"/>
          <w:sz w:val="32"/>
          <w:szCs w:val="32"/>
        </w:rPr>
      </w:pPr>
    </w:p>
    <w:p w14:paraId="35FB0A19" w14:textId="5CA7EF1E" w:rsidR="007F3EC4" w:rsidRPr="005F6A99" w:rsidRDefault="007F3EC4" w:rsidP="007F3EC4">
      <w:pPr>
        <w:jc w:val="center"/>
        <w:rPr>
          <w:rFonts w:ascii="GalanoGrotesque-Bold" w:eastAsia="Calibri" w:hAnsi="GalanoGrotesque-Bold" w:cs="Times New Roman"/>
          <w:b/>
          <w:color w:val="000000"/>
          <w:sz w:val="32"/>
          <w:szCs w:val="32"/>
        </w:rPr>
      </w:pPr>
    </w:p>
    <w:p w14:paraId="7ABF3D9D" w14:textId="44040B02" w:rsidR="00CF46A5" w:rsidRPr="005F6A99" w:rsidRDefault="00CF46A5" w:rsidP="00CF46A5">
      <w:pPr>
        <w:rPr>
          <w:color w:val="864A04" w:themeColor="accent2" w:themeShade="80"/>
        </w:rPr>
      </w:pPr>
    </w:p>
    <w:p w14:paraId="15ABBCC1" w14:textId="15AFB09F" w:rsidR="001C74D7" w:rsidRPr="005F6A99" w:rsidRDefault="001C74D7" w:rsidP="001C74D7">
      <w:pPr>
        <w:rPr>
          <w:color w:val="864A04" w:themeColor="accent2" w:themeShade="80"/>
        </w:rPr>
      </w:pPr>
    </w:p>
    <w:p w14:paraId="7874F062" w14:textId="2066DD8A" w:rsidR="005214E3" w:rsidRPr="005F6A99" w:rsidRDefault="005214E3" w:rsidP="001C74D7">
      <w:pPr>
        <w:rPr>
          <w:color w:val="864A04" w:themeColor="accent2" w:themeShade="80"/>
        </w:rPr>
      </w:pPr>
    </w:p>
    <w:p w14:paraId="3936C940" w14:textId="6406E036" w:rsidR="005214E3" w:rsidRPr="005F6A99" w:rsidRDefault="005214E3" w:rsidP="001C74D7">
      <w:pPr>
        <w:rPr>
          <w:color w:val="864A04" w:themeColor="accent2" w:themeShade="80"/>
        </w:rPr>
      </w:pPr>
    </w:p>
    <w:p w14:paraId="05D37A97" w14:textId="25F96995" w:rsidR="005214E3" w:rsidRPr="005F6A99" w:rsidRDefault="005214E3" w:rsidP="001C74D7">
      <w:pPr>
        <w:rPr>
          <w:color w:val="864A04" w:themeColor="accent2" w:themeShade="80"/>
        </w:rPr>
      </w:pPr>
    </w:p>
    <w:p w14:paraId="1D129A45" w14:textId="77777777" w:rsidR="001C74D7" w:rsidRPr="005F6A99" w:rsidRDefault="001C74D7" w:rsidP="001C74D7">
      <w:pPr>
        <w:rPr>
          <w:color w:val="864A04" w:themeColor="accent2" w:themeShade="80"/>
        </w:rPr>
      </w:pPr>
    </w:p>
    <w:p w14:paraId="6DB5115F" w14:textId="77777777" w:rsidR="001C74D7" w:rsidRPr="005F6A99" w:rsidRDefault="001C74D7" w:rsidP="001C74D7">
      <w:pPr>
        <w:rPr>
          <w:color w:val="864A04" w:themeColor="accent2" w:themeShade="80"/>
        </w:rPr>
      </w:pPr>
    </w:p>
    <w:p w14:paraId="56684E37" w14:textId="77777777" w:rsidR="001C74D7" w:rsidRPr="005F6A99" w:rsidRDefault="001C74D7" w:rsidP="001C74D7">
      <w:pPr>
        <w:rPr>
          <w:noProof/>
          <w:lang w:eastAsia="es-MX"/>
        </w:rPr>
      </w:pPr>
    </w:p>
    <w:p w14:paraId="7A8D729D" w14:textId="77777777" w:rsidR="001C74D7" w:rsidRPr="005F6A99" w:rsidRDefault="001C74D7" w:rsidP="001C74D7">
      <w:pPr>
        <w:rPr>
          <w:noProof/>
          <w:lang w:eastAsia="es-MX"/>
        </w:rPr>
      </w:pPr>
    </w:p>
    <w:p w14:paraId="1F72DAB0" w14:textId="77777777" w:rsidR="001C74D7" w:rsidRPr="005F6A99" w:rsidRDefault="001C74D7" w:rsidP="001C74D7">
      <w:pPr>
        <w:rPr>
          <w:color w:val="864A04" w:themeColor="accent2" w:themeShade="80"/>
        </w:rPr>
      </w:pPr>
    </w:p>
    <w:p w14:paraId="143C49E9" w14:textId="77777777" w:rsidR="001C74D7" w:rsidRPr="005F6A99" w:rsidRDefault="001C74D7" w:rsidP="001C74D7">
      <w:pPr>
        <w:rPr>
          <w:color w:val="864A04" w:themeColor="accent2" w:themeShade="80"/>
        </w:rPr>
      </w:pPr>
      <w:r w:rsidRPr="005F6A99">
        <w:rPr>
          <w:color w:val="864A04" w:themeColor="accent2" w:themeShade="80"/>
        </w:rPr>
        <w:br w:type="page"/>
      </w:r>
    </w:p>
    <w:p w14:paraId="67EC3D6B" w14:textId="77777777" w:rsidR="00E72F3C" w:rsidRPr="005F6A99" w:rsidRDefault="00E72F3C" w:rsidP="00F76D9E">
      <w:pPr>
        <w:rPr>
          <w:rFonts w:ascii="GalanoGrotesque-Bold" w:eastAsia="Times New Roman" w:hAnsi="GalanoGrotesque-Bold" w:cs="Times New Roman"/>
          <w:b/>
          <w:sz w:val="22"/>
          <w:szCs w:val="28"/>
        </w:rPr>
      </w:pPr>
    </w:p>
    <w:p w14:paraId="6CFD208A" w14:textId="77777777" w:rsidR="00065CC6" w:rsidRPr="005F6A99" w:rsidRDefault="00065CC6" w:rsidP="00F76D9E">
      <w:pPr>
        <w:rPr>
          <w:rFonts w:ascii="GalanoGrotesque-Bold" w:eastAsia="Times New Roman" w:hAnsi="GalanoGrotesque-Bold" w:cs="Times New Roman"/>
          <w:b/>
          <w:sz w:val="22"/>
          <w:szCs w:val="28"/>
        </w:rPr>
      </w:pPr>
    </w:p>
    <w:p w14:paraId="45D632D6" w14:textId="77777777" w:rsidR="00B82D70" w:rsidRPr="005F6A99" w:rsidRDefault="00B82D70" w:rsidP="00B82D70">
      <w:pPr>
        <w:spacing w:before="0" w:after="0"/>
        <w:rPr>
          <w:rFonts w:eastAsia="Times New Roman" w:cs="Times New Roman"/>
          <w:b/>
          <w:sz w:val="26"/>
          <w:szCs w:val="22"/>
        </w:rPr>
      </w:pPr>
      <w:r w:rsidRPr="005F6A99">
        <w:rPr>
          <w:rFonts w:eastAsia="Times New Roman" w:cs="Times New Roman"/>
          <w:b/>
          <w:sz w:val="26"/>
          <w:szCs w:val="22"/>
        </w:rPr>
        <w:t>1.8 NOTAS A LOS ESTADOS FINANCIEROS</w:t>
      </w:r>
    </w:p>
    <w:p w14:paraId="45691A60" w14:textId="77777777" w:rsidR="00B82D70" w:rsidRPr="005F6A99" w:rsidRDefault="00B82D70" w:rsidP="00B82D70">
      <w:pPr>
        <w:spacing w:before="0" w:after="0"/>
        <w:rPr>
          <w:rFonts w:eastAsia="Calibri" w:cs="Times New Roman"/>
          <w:bCs/>
          <w:color w:val="000000"/>
          <w:sz w:val="22"/>
          <w:szCs w:val="22"/>
        </w:rPr>
      </w:pPr>
    </w:p>
    <w:p w14:paraId="6C25BE86" w14:textId="560CB60F" w:rsidR="00B82D70" w:rsidRPr="005F6A99" w:rsidRDefault="00B82D70" w:rsidP="00B82D70">
      <w:pPr>
        <w:spacing w:before="0" w:after="0"/>
        <w:rPr>
          <w:rFonts w:eastAsia="Calibri" w:cs="Times New Roman"/>
          <w:bCs/>
          <w:color w:val="000000"/>
          <w:sz w:val="22"/>
          <w:szCs w:val="22"/>
        </w:rPr>
      </w:pPr>
      <w:r w:rsidRPr="005F6A99">
        <w:rPr>
          <w:rFonts w:eastAsia="Calibri" w:cs="Times New Roman"/>
          <w:bCs/>
          <w:color w:val="000000"/>
          <w:sz w:val="22"/>
          <w:szCs w:val="22"/>
        </w:rPr>
        <w:t xml:space="preserve">Las notas que se adjuntan al presente informe, son parte integrante de los estados financieros, correspondientes al </w:t>
      </w:r>
      <w:r w:rsidR="00801CA5" w:rsidRPr="005F6A99">
        <w:rPr>
          <w:rFonts w:eastAsia="Calibri" w:cs="Times New Roman"/>
          <w:bCs/>
          <w:color w:val="000000"/>
          <w:sz w:val="22"/>
          <w:szCs w:val="22"/>
        </w:rPr>
        <w:t>Tercer</w:t>
      </w:r>
      <w:r w:rsidRPr="005F6A99">
        <w:rPr>
          <w:rFonts w:eastAsia="Calibri" w:cs="Times New Roman"/>
          <w:bCs/>
          <w:color w:val="000000"/>
          <w:sz w:val="22"/>
          <w:szCs w:val="22"/>
        </w:rPr>
        <w:t xml:space="preserve"> Trimestre del ejercicio fiscal 202</w:t>
      </w:r>
      <w:r w:rsidR="005C1131" w:rsidRPr="005F6A99">
        <w:rPr>
          <w:rFonts w:eastAsia="Calibri" w:cs="Times New Roman"/>
          <w:bCs/>
          <w:color w:val="000000"/>
          <w:sz w:val="22"/>
          <w:szCs w:val="22"/>
        </w:rPr>
        <w:t>2</w:t>
      </w:r>
      <w:r w:rsidRPr="005F6A99">
        <w:rPr>
          <w:rFonts w:eastAsia="Calibri" w:cs="Times New Roman"/>
          <w:bCs/>
          <w:color w:val="000000"/>
          <w:sz w:val="22"/>
          <w:szCs w:val="22"/>
        </w:rPr>
        <w:t xml:space="preserve">; las cuales, tienen como propósito aclarar o detallar la información y cifras en los mismos, y se presentan </w:t>
      </w:r>
      <w:r w:rsidRPr="005F6A99">
        <w:rPr>
          <w:rFonts w:eastAsia="Calibri" w:cs="Times New Roman"/>
          <w:sz w:val="22"/>
          <w:szCs w:val="22"/>
        </w:rPr>
        <w:t>en cumplimiento de los artículos 47 y 49 de la Ley General de Contabilidad Gubernamental</w:t>
      </w:r>
      <w:r w:rsidRPr="005F6A99">
        <w:rPr>
          <w:rFonts w:eastAsia="Calibri" w:cs="Times New Roman"/>
          <w:bCs/>
          <w:color w:val="000000"/>
          <w:sz w:val="22"/>
          <w:szCs w:val="22"/>
        </w:rPr>
        <w:t xml:space="preserve"> y del Acuerdo que reforma los Capítulos III y VII del Manual de Contabilidad Gubernamental, publicado en el Diario Oficial de la Federación del 27 de septiembre de 2018 y 23 de diciembre del 2020</w:t>
      </w:r>
      <w:r w:rsidR="0078025E" w:rsidRPr="005F6A99">
        <w:rPr>
          <w:rFonts w:eastAsia="Calibri" w:cs="Times New Roman"/>
          <w:bCs/>
          <w:color w:val="000000"/>
          <w:sz w:val="22"/>
          <w:szCs w:val="22"/>
        </w:rPr>
        <w:t>,</w:t>
      </w:r>
      <w:r w:rsidRPr="005F6A99">
        <w:rPr>
          <w:rFonts w:eastAsia="Calibri" w:cs="Times New Roman"/>
          <w:bCs/>
          <w:color w:val="000000"/>
          <w:sz w:val="22"/>
          <w:szCs w:val="22"/>
        </w:rPr>
        <w:t xml:space="preserve"> respectivamente.</w:t>
      </w:r>
    </w:p>
    <w:p w14:paraId="7F0AF8DC" w14:textId="77777777" w:rsidR="00B82D70" w:rsidRPr="005F6A99" w:rsidRDefault="00B82D70" w:rsidP="00B82D70">
      <w:pPr>
        <w:spacing w:before="0" w:after="0"/>
        <w:rPr>
          <w:rFonts w:eastAsia="Calibri" w:cs="Times New Roman"/>
          <w:bCs/>
          <w:color w:val="000000"/>
          <w:sz w:val="22"/>
          <w:szCs w:val="22"/>
        </w:rPr>
      </w:pPr>
    </w:p>
    <w:p w14:paraId="62FA1C8F" w14:textId="77777777" w:rsidR="00B82D70" w:rsidRPr="005F6A99" w:rsidRDefault="00B82D70" w:rsidP="00B82D70">
      <w:pPr>
        <w:spacing w:before="0" w:after="0"/>
        <w:rPr>
          <w:rFonts w:eastAsia="Calibri" w:cs="Times New Roman"/>
          <w:bCs/>
          <w:color w:val="000000"/>
          <w:sz w:val="22"/>
          <w:szCs w:val="22"/>
        </w:rPr>
      </w:pPr>
      <w:r w:rsidRPr="005F6A99">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5F6A99">
        <w:rPr>
          <w:rFonts w:eastAsia="Calibri" w:cs="Times New Roman"/>
          <w:bCs/>
          <w:color w:val="000000"/>
          <w:sz w:val="22"/>
          <w:szCs w:val="22"/>
        </w:rPr>
        <w:t>con</w:t>
      </w:r>
      <w:r w:rsidRPr="005F6A99">
        <w:rPr>
          <w:rFonts w:eastAsia="Calibri" w:cs="Times New Roman"/>
          <w:bCs/>
          <w:color w:val="000000"/>
          <w:sz w:val="22"/>
          <w:szCs w:val="22"/>
        </w:rPr>
        <w:t xml:space="preserve"> lo establecido en la Ley General de Contabilidad Gubernamental.</w:t>
      </w:r>
    </w:p>
    <w:p w14:paraId="302697E8" w14:textId="77777777" w:rsidR="00B82D70" w:rsidRPr="005F6A99" w:rsidRDefault="00B82D70" w:rsidP="00B82D70">
      <w:pPr>
        <w:spacing w:before="0" w:after="0"/>
        <w:rPr>
          <w:rFonts w:eastAsia="Calibri" w:cs="Times New Roman"/>
          <w:bCs/>
          <w:color w:val="000000"/>
          <w:sz w:val="22"/>
          <w:szCs w:val="22"/>
        </w:rPr>
      </w:pPr>
      <w:bookmarkStart w:id="1" w:name="_GoBack"/>
      <w:bookmarkEnd w:id="1"/>
    </w:p>
    <w:p w14:paraId="539E5FB8" w14:textId="64905DF1" w:rsidR="00B82D70" w:rsidRPr="005F6A99" w:rsidRDefault="00B82D70" w:rsidP="00B82D70">
      <w:pPr>
        <w:spacing w:before="0" w:after="0"/>
        <w:rPr>
          <w:rFonts w:eastAsia="Calibri" w:cs="Times New Roman"/>
          <w:bCs/>
          <w:color w:val="000000"/>
          <w:sz w:val="22"/>
          <w:szCs w:val="22"/>
        </w:rPr>
      </w:pPr>
      <w:r w:rsidRPr="005F6A99">
        <w:rPr>
          <w:rFonts w:eastAsia="Calibri" w:cs="Times New Roman"/>
          <w:bCs/>
          <w:color w:val="000000"/>
          <w:sz w:val="22"/>
          <w:szCs w:val="22"/>
        </w:rPr>
        <w:t xml:space="preserve">De conformidad con la citada Ley, así como </w:t>
      </w:r>
      <w:r w:rsidR="00485F96" w:rsidRPr="005F6A99">
        <w:rPr>
          <w:rFonts w:eastAsia="Calibri" w:cs="Times New Roman"/>
          <w:bCs/>
          <w:color w:val="000000"/>
          <w:sz w:val="22"/>
          <w:szCs w:val="22"/>
        </w:rPr>
        <w:t xml:space="preserve">con </w:t>
      </w:r>
      <w:r w:rsidRPr="005F6A99">
        <w:rPr>
          <w:rFonts w:eastAsia="Calibri" w:cs="Times New Roman"/>
          <w:bCs/>
          <w:color w:val="000000"/>
          <w:sz w:val="22"/>
          <w:szCs w:val="22"/>
        </w:rPr>
        <w:t>la normativ</w:t>
      </w:r>
      <w:r w:rsidR="001C365F" w:rsidRPr="005F6A99">
        <w:rPr>
          <w:rFonts w:eastAsia="Calibri" w:cs="Times New Roman"/>
          <w:bCs/>
          <w:color w:val="000000"/>
          <w:sz w:val="22"/>
          <w:szCs w:val="22"/>
        </w:rPr>
        <w:t xml:space="preserve">a </w:t>
      </w:r>
      <w:r w:rsidRPr="005F6A99">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5F6A99" w:rsidRDefault="00DE384C" w:rsidP="00B82D70">
      <w:pPr>
        <w:spacing w:before="0" w:after="0"/>
        <w:rPr>
          <w:rFonts w:eastAsia="Calibri" w:cs="Times New Roman"/>
          <w:bCs/>
          <w:color w:val="000000"/>
          <w:sz w:val="22"/>
          <w:szCs w:val="22"/>
        </w:rPr>
      </w:pPr>
    </w:p>
    <w:p w14:paraId="6E905047" w14:textId="77777777" w:rsidR="00B82D70" w:rsidRPr="005F6A99" w:rsidRDefault="00B82D70" w:rsidP="00C04B49">
      <w:pPr>
        <w:numPr>
          <w:ilvl w:val="0"/>
          <w:numId w:val="4"/>
        </w:numPr>
        <w:spacing w:before="0" w:after="0"/>
        <w:ind w:left="709"/>
        <w:jc w:val="left"/>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Notas de desglose.</w:t>
      </w:r>
    </w:p>
    <w:p w14:paraId="31649C9E" w14:textId="77777777" w:rsidR="00B82D70" w:rsidRPr="005F6A99" w:rsidRDefault="00B82D70" w:rsidP="00C04B49">
      <w:pPr>
        <w:numPr>
          <w:ilvl w:val="0"/>
          <w:numId w:val="4"/>
        </w:numPr>
        <w:spacing w:before="0" w:after="0"/>
        <w:ind w:left="709"/>
        <w:jc w:val="left"/>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Notas de memoria.</w:t>
      </w:r>
    </w:p>
    <w:p w14:paraId="7BD937BB" w14:textId="77777777" w:rsidR="00B82D70" w:rsidRPr="005F6A99" w:rsidRDefault="00B82D70" w:rsidP="00C04B49">
      <w:pPr>
        <w:numPr>
          <w:ilvl w:val="0"/>
          <w:numId w:val="4"/>
        </w:numPr>
        <w:spacing w:before="0" w:after="0"/>
        <w:ind w:left="709"/>
        <w:jc w:val="left"/>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Notas de gestión administrativa.</w:t>
      </w:r>
    </w:p>
    <w:p w14:paraId="573BF512" w14:textId="77777777" w:rsidR="00B82D70" w:rsidRPr="005F6A99" w:rsidRDefault="00B82D70" w:rsidP="00B82D70">
      <w:pPr>
        <w:spacing w:before="0" w:after="0"/>
        <w:jc w:val="center"/>
        <w:rPr>
          <w:rFonts w:eastAsia="Calibri" w:cs="Times New Roman"/>
          <w:b/>
          <w:sz w:val="22"/>
          <w:szCs w:val="22"/>
        </w:rPr>
      </w:pPr>
    </w:p>
    <w:p w14:paraId="3235A25C" w14:textId="77777777" w:rsidR="00B82D70" w:rsidRPr="005F6A99" w:rsidRDefault="00B82D70" w:rsidP="00B82D70">
      <w:pPr>
        <w:rPr>
          <w:rFonts w:eastAsia="Calibri" w:cs="Times New Roman"/>
          <w:b/>
        </w:rPr>
      </w:pPr>
      <w:r w:rsidRPr="005F6A99">
        <w:rPr>
          <w:rFonts w:eastAsia="Calibri" w:cs="Times New Roman"/>
          <w:b/>
        </w:rPr>
        <w:br w:type="page"/>
      </w:r>
    </w:p>
    <w:p w14:paraId="4EA26FB3" w14:textId="77777777" w:rsidR="00DE384C" w:rsidRPr="005F6A99" w:rsidRDefault="00DE384C" w:rsidP="00B82D70">
      <w:pPr>
        <w:spacing w:before="0" w:after="0"/>
        <w:jc w:val="center"/>
        <w:rPr>
          <w:rFonts w:eastAsia="Calibri" w:cs="Times New Roman"/>
          <w:b/>
          <w:sz w:val="12"/>
          <w:szCs w:val="12"/>
        </w:rPr>
      </w:pPr>
    </w:p>
    <w:p w14:paraId="48A3FC6B" w14:textId="77777777" w:rsidR="00B82D70" w:rsidRPr="005F6A99" w:rsidRDefault="00B82D70" w:rsidP="00B82D70">
      <w:pPr>
        <w:spacing w:before="0" w:after="0"/>
        <w:jc w:val="center"/>
        <w:rPr>
          <w:rFonts w:eastAsia="Calibri" w:cs="Times New Roman"/>
          <w:b/>
          <w:sz w:val="28"/>
          <w:szCs w:val="28"/>
        </w:rPr>
      </w:pPr>
      <w:r w:rsidRPr="005F6A99">
        <w:rPr>
          <w:rFonts w:eastAsia="Calibri" w:cs="Times New Roman"/>
          <w:b/>
          <w:sz w:val="28"/>
          <w:szCs w:val="28"/>
        </w:rPr>
        <w:t>NOTAS DE DESGLOSE</w:t>
      </w:r>
    </w:p>
    <w:p w14:paraId="56177F45" w14:textId="77777777" w:rsidR="00B82D70" w:rsidRPr="005F6A99" w:rsidRDefault="00B82D70" w:rsidP="00B82D70">
      <w:pPr>
        <w:spacing w:before="0" w:after="0"/>
        <w:jc w:val="center"/>
        <w:rPr>
          <w:rFonts w:eastAsia="Calibri" w:cs="Times New Roman"/>
          <w:b/>
        </w:rPr>
      </w:pPr>
    </w:p>
    <w:p w14:paraId="5E7A5135" w14:textId="33D2121C" w:rsidR="00B82D70" w:rsidRPr="005F6A99" w:rsidRDefault="0070010C" w:rsidP="00B82D70">
      <w:pPr>
        <w:spacing w:before="0" w:after="0"/>
        <w:jc w:val="left"/>
        <w:rPr>
          <w:rFonts w:eastAsia="Calibri" w:cs="Times New Roman"/>
          <w:b/>
        </w:rPr>
      </w:pPr>
      <w:r w:rsidRPr="005F6A99">
        <w:rPr>
          <w:rFonts w:eastAsia="Calibri" w:cs="Times New Roman"/>
          <w:b/>
        </w:rPr>
        <w:t xml:space="preserve">I). </w:t>
      </w:r>
      <w:r w:rsidR="00B82D70" w:rsidRPr="005F6A99">
        <w:rPr>
          <w:rFonts w:eastAsia="Calibri" w:cs="Times New Roman"/>
          <w:b/>
        </w:rPr>
        <w:t>NOTAS AL ESTADO DE SITUACIÓN FINANCIERA</w:t>
      </w:r>
    </w:p>
    <w:p w14:paraId="158A419D" w14:textId="77777777" w:rsidR="00B82D70" w:rsidRPr="005F6A99" w:rsidRDefault="00B82D70" w:rsidP="00B82D70">
      <w:pPr>
        <w:spacing w:before="0" w:after="0"/>
        <w:rPr>
          <w:rFonts w:eastAsia="Times New Roman" w:cs="Times New Roman"/>
          <w:b/>
          <w:color w:val="000000"/>
          <w:sz w:val="22"/>
          <w:szCs w:val="22"/>
          <w:lang w:eastAsia="es-MX"/>
        </w:rPr>
      </w:pPr>
    </w:p>
    <w:p w14:paraId="7403D1F7" w14:textId="56109A73" w:rsidR="00B82D70" w:rsidRPr="005F6A99" w:rsidRDefault="00B82D70" w:rsidP="00B82D70">
      <w:pPr>
        <w:spacing w:before="0" w:after="0"/>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 xml:space="preserve">ACTIVO </w:t>
      </w:r>
    </w:p>
    <w:p w14:paraId="519AD7D5" w14:textId="77777777" w:rsidR="00B82D70" w:rsidRPr="005F6A99" w:rsidRDefault="00B82D70" w:rsidP="00B82D70">
      <w:pPr>
        <w:spacing w:before="0" w:after="0"/>
        <w:rPr>
          <w:rFonts w:eastAsia="Times New Roman" w:cs="Times New Roman"/>
          <w:b/>
          <w:color w:val="000000"/>
          <w:sz w:val="22"/>
          <w:szCs w:val="22"/>
          <w:lang w:eastAsia="es-MX"/>
        </w:rPr>
      </w:pPr>
    </w:p>
    <w:p w14:paraId="3C56DDD2" w14:textId="77777777" w:rsidR="00B82D70" w:rsidRPr="005F6A99" w:rsidRDefault="00B82D70" w:rsidP="00B82D70">
      <w:pPr>
        <w:spacing w:before="0" w:after="0"/>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1.- EFECTIVO Y EQUIVALENTES</w:t>
      </w:r>
    </w:p>
    <w:p w14:paraId="6B889A27" w14:textId="77777777" w:rsidR="00B82D70" w:rsidRPr="005F6A99" w:rsidRDefault="00B82D70" w:rsidP="00B82D70">
      <w:pPr>
        <w:spacing w:before="0" w:after="0"/>
        <w:rPr>
          <w:rFonts w:eastAsia="Times New Roman" w:cs="Times New Roman"/>
          <w:b/>
          <w:color w:val="000000"/>
          <w:sz w:val="22"/>
          <w:szCs w:val="22"/>
          <w:lang w:eastAsia="es-MX"/>
        </w:rPr>
      </w:pPr>
    </w:p>
    <w:p w14:paraId="728EB457" w14:textId="507F9E87" w:rsidR="00B82D70" w:rsidRPr="005F6A99" w:rsidRDefault="00B82D70" w:rsidP="00CF7E8D">
      <w:pPr>
        <w:spacing w:before="0" w:after="0"/>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El saldo de </w:t>
      </w:r>
      <w:r w:rsidR="00F62709" w:rsidRPr="005F6A99">
        <w:rPr>
          <w:rFonts w:eastAsia="Times New Roman" w:cs="Times New Roman"/>
          <w:color w:val="000000"/>
          <w:sz w:val="22"/>
          <w:szCs w:val="22"/>
          <w:lang w:eastAsia="es-MX"/>
        </w:rPr>
        <w:t>4</w:t>
      </w:r>
      <w:r w:rsidRPr="005F6A99">
        <w:rPr>
          <w:rFonts w:eastAsia="Times New Roman" w:cs="Times New Roman"/>
          <w:color w:val="000000"/>
          <w:sz w:val="22"/>
          <w:szCs w:val="22"/>
          <w:lang w:eastAsia="es-MX"/>
        </w:rPr>
        <w:t xml:space="preserve"> mil </w:t>
      </w:r>
      <w:r w:rsidR="00F62709" w:rsidRPr="005F6A99">
        <w:rPr>
          <w:rFonts w:eastAsia="Times New Roman" w:cs="Times New Roman"/>
          <w:color w:val="000000"/>
          <w:sz w:val="22"/>
          <w:szCs w:val="22"/>
          <w:lang w:eastAsia="es-MX"/>
        </w:rPr>
        <w:t>086</w:t>
      </w:r>
      <w:r w:rsidRPr="005F6A99">
        <w:rPr>
          <w:rFonts w:eastAsia="Times New Roman" w:cs="Times New Roman"/>
          <w:color w:val="000000"/>
          <w:sz w:val="22"/>
          <w:szCs w:val="22"/>
          <w:lang w:eastAsia="es-MX"/>
        </w:rPr>
        <w:t xml:space="preserve"> millones </w:t>
      </w:r>
      <w:r w:rsidR="003C1B12" w:rsidRPr="005F6A99">
        <w:rPr>
          <w:rFonts w:eastAsia="Times New Roman" w:cs="Times New Roman"/>
          <w:color w:val="000000"/>
          <w:sz w:val="22"/>
          <w:szCs w:val="22"/>
          <w:lang w:eastAsia="es-MX"/>
        </w:rPr>
        <w:t>751</w:t>
      </w:r>
      <w:r w:rsidRPr="005F6A99">
        <w:rPr>
          <w:rFonts w:eastAsia="Times New Roman" w:cs="Times New Roman"/>
          <w:color w:val="000000"/>
          <w:sz w:val="22"/>
          <w:szCs w:val="22"/>
          <w:lang w:eastAsia="es-MX"/>
        </w:rPr>
        <w:t xml:space="preserve"> mil </w:t>
      </w:r>
      <w:r w:rsidR="003C1B12" w:rsidRPr="005F6A99">
        <w:rPr>
          <w:rFonts w:eastAsia="Times New Roman" w:cs="Times New Roman"/>
          <w:color w:val="000000"/>
          <w:sz w:val="22"/>
          <w:szCs w:val="22"/>
          <w:lang w:eastAsia="es-MX"/>
        </w:rPr>
        <w:t>553</w:t>
      </w:r>
      <w:r w:rsidRPr="005F6A99">
        <w:rPr>
          <w:rFonts w:eastAsia="Times New Roman" w:cs="Times New Roman"/>
          <w:color w:val="000000"/>
          <w:sz w:val="22"/>
          <w:szCs w:val="22"/>
          <w:lang w:eastAsia="es-MX"/>
        </w:rPr>
        <w:t xml:space="preserve"> pesos, representa los recursos en efectivo y cuentas bancarias propiedad del Gobierno del Estado, así como en inversiones temporales recuperables, en donde se encuentran recursos pendientes de aplicar de convenios y fondos federales, que se </w:t>
      </w:r>
      <w:r w:rsidR="00485F96" w:rsidRPr="005F6A99">
        <w:rPr>
          <w:rFonts w:eastAsia="Times New Roman" w:cs="Times New Roman"/>
          <w:color w:val="000000"/>
          <w:sz w:val="22"/>
          <w:szCs w:val="22"/>
          <w:lang w:eastAsia="es-MX"/>
        </w:rPr>
        <w:t>h</w:t>
      </w:r>
      <w:r w:rsidRPr="005F6A99">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Cuotas y Aportaciones Patronales. </w:t>
      </w:r>
    </w:p>
    <w:p w14:paraId="67A95647" w14:textId="1170C869" w:rsidR="00B82D70" w:rsidRPr="005F6A99" w:rsidRDefault="00B82D70" w:rsidP="00B82D70">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Su integración detallada es la siguiente:</w:t>
      </w:r>
    </w:p>
    <w:p w14:paraId="2EC5202A" w14:textId="6AC2C183" w:rsidR="001C365F" w:rsidRPr="005F6A99" w:rsidRDefault="00F62709" w:rsidP="00B82D70">
      <w:pPr>
        <w:widowControl w:val="0"/>
        <w:kinsoku w:val="0"/>
        <w:spacing w:before="0" w:after="0"/>
        <w:contextualSpacing/>
        <w:rPr>
          <w:rFonts w:eastAsia="Times New Roman" w:cs="Times New Roman"/>
          <w:color w:val="000000"/>
          <w:sz w:val="22"/>
          <w:szCs w:val="22"/>
          <w:lang w:eastAsia="es-MX"/>
        </w:rPr>
      </w:pPr>
      <w:r w:rsidRPr="005F6A99">
        <w:rPr>
          <w:noProof/>
          <w:lang w:val="es-MX" w:eastAsia="es-MX"/>
        </w:rPr>
        <w:drawing>
          <wp:inline distT="0" distB="0" distL="0" distR="0" wp14:anchorId="2A1C8823" wp14:editId="1D7CF5CB">
            <wp:extent cx="6351270" cy="1067435"/>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270" cy="1067435"/>
                    </a:xfrm>
                    <a:prstGeom prst="rect">
                      <a:avLst/>
                    </a:prstGeom>
                    <a:noFill/>
                    <a:ln>
                      <a:noFill/>
                    </a:ln>
                  </pic:spPr>
                </pic:pic>
              </a:graphicData>
            </a:graphic>
          </wp:inline>
        </w:drawing>
      </w:r>
    </w:p>
    <w:p w14:paraId="0603959C" w14:textId="60F47EB9" w:rsidR="00B82D70" w:rsidRPr="005F6A99" w:rsidRDefault="00F62709" w:rsidP="001C365F">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Se presenta una disminución del 31% en el rubro de efectivo y equivalentes derivado principalmente de los saldos en las cuentas de Bancos</w:t>
      </w:r>
      <w:r w:rsidR="00523FC0" w:rsidRPr="005F6A99">
        <w:rPr>
          <w:rFonts w:eastAsia="Times New Roman" w:cs="Times New Roman"/>
          <w:color w:val="000000"/>
          <w:sz w:val="22"/>
          <w:szCs w:val="22"/>
          <w:lang w:eastAsia="es-MX"/>
        </w:rPr>
        <w:t>.</w:t>
      </w:r>
    </w:p>
    <w:p w14:paraId="1EAE6556" w14:textId="6397D9DC" w:rsidR="00523FC0" w:rsidRPr="005F6A99" w:rsidRDefault="00266E75" w:rsidP="001C365F">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En este sentido, se destacan las cuentas bancarias de fondos específicos por convenios o fondos federales, que cuentan con los saldos siguientes:</w:t>
      </w:r>
    </w:p>
    <w:p w14:paraId="538DA796" w14:textId="7C62F716" w:rsidR="00266E75" w:rsidRPr="005F6A99" w:rsidRDefault="00266E75" w:rsidP="001C365F">
      <w:pPr>
        <w:widowControl w:val="0"/>
        <w:kinsoku w:val="0"/>
        <w:spacing w:before="0" w:after="0"/>
        <w:contextualSpacing/>
        <w:rPr>
          <w:rFonts w:eastAsia="Times New Roman" w:cs="Times New Roman"/>
          <w:color w:val="000000"/>
          <w:sz w:val="22"/>
          <w:szCs w:val="22"/>
          <w:lang w:eastAsia="es-MX"/>
        </w:rPr>
      </w:pPr>
    </w:p>
    <w:p w14:paraId="7BADFFC6" w14:textId="2A195D0A" w:rsidR="00266E75" w:rsidRPr="005F6A99" w:rsidRDefault="00266E75" w:rsidP="001C365F">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noProof/>
          <w:color w:val="000000"/>
          <w:sz w:val="22"/>
          <w:szCs w:val="22"/>
          <w:lang w:val="es-MX" w:eastAsia="es-MX"/>
        </w:rPr>
        <w:lastRenderedPageBreak/>
        <w:drawing>
          <wp:inline distT="0" distB="0" distL="0" distR="0" wp14:anchorId="2A1321F3" wp14:editId="437D2BF4">
            <wp:extent cx="5619750" cy="7954864"/>
            <wp:effectExtent l="0" t="0" r="0" b="825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3221" cy="7959777"/>
                    </a:xfrm>
                    <a:prstGeom prst="rect">
                      <a:avLst/>
                    </a:prstGeom>
                  </pic:spPr>
                </pic:pic>
              </a:graphicData>
            </a:graphic>
          </wp:inline>
        </w:drawing>
      </w:r>
    </w:p>
    <w:p w14:paraId="5956E3F4" w14:textId="7EA82A8C" w:rsidR="00321041" w:rsidRPr="005F6A99" w:rsidRDefault="00266E75" w:rsidP="001C365F">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noProof/>
          <w:color w:val="000000"/>
          <w:sz w:val="22"/>
          <w:szCs w:val="22"/>
          <w:lang w:val="es-MX" w:eastAsia="es-MX"/>
        </w:rPr>
        <w:lastRenderedPageBreak/>
        <w:drawing>
          <wp:inline distT="0" distB="0" distL="0" distR="0" wp14:anchorId="2DDE257D" wp14:editId="62DE2116">
            <wp:extent cx="6115050" cy="8048625"/>
            <wp:effectExtent l="0" t="0" r="0" b="952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989" cy="8051177"/>
                    </a:xfrm>
                    <a:prstGeom prst="rect">
                      <a:avLst/>
                    </a:prstGeom>
                  </pic:spPr>
                </pic:pic>
              </a:graphicData>
            </a:graphic>
          </wp:inline>
        </w:drawing>
      </w:r>
    </w:p>
    <w:p w14:paraId="147529BC" w14:textId="55F84830" w:rsidR="00266E75" w:rsidRPr="005F6A99" w:rsidRDefault="00266E75" w:rsidP="001C365F">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noProof/>
          <w:color w:val="000000"/>
          <w:sz w:val="22"/>
          <w:szCs w:val="22"/>
          <w:lang w:val="es-MX" w:eastAsia="es-MX"/>
        </w:rPr>
        <w:lastRenderedPageBreak/>
        <w:drawing>
          <wp:inline distT="0" distB="0" distL="0" distR="0" wp14:anchorId="63EC76A8" wp14:editId="00BFB7BC">
            <wp:extent cx="6343650" cy="806196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6461" cy="8065532"/>
                    </a:xfrm>
                    <a:prstGeom prst="rect">
                      <a:avLst/>
                    </a:prstGeom>
                  </pic:spPr>
                </pic:pic>
              </a:graphicData>
            </a:graphic>
          </wp:inline>
        </w:drawing>
      </w:r>
    </w:p>
    <w:p w14:paraId="30F64FAD" w14:textId="1DC474D6" w:rsidR="00266E75" w:rsidRPr="005F6A99" w:rsidRDefault="00266E75" w:rsidP="001C365F">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noProof/>
          <w:color w:val="000000"/>
          <w:sz w:val="22"/>
          <w:szCs w:val="22"/>
          <w:lang w:val="es-MX" w:eastAsia="es-MX"/>
        </w:rPr>
        <w:lastRenderedPageBreak/>
        <w:drawing>
          <wp:inline distT="0" distB="0" distL="0" distR="0" wp14:anchorId="14C3028C" wp14:editId="42A69823">
            <wp:extent cx="6351270" cy="417703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1270" cy="4177030"/>
                    </a:xfrm>
                    <a:prstGeom prst="rect">
                      <a:avLst/>
                    </a:prstGeom>
                  </pic:spPr>
                </pic:pic>
              </a:graphicData>
            </a:graphic>
          </wp:inline>
        </w:drawing>
      </w:r>
    </w:p>
    <w:p w14:paraId="7986FE63" w14:textId="77777777" w:rsidR="00321041" w:rsidRPr="005F6A99" w:rsidRDefault="00321041"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5F6A99" w:rsidRDefault="00B82D70" w:rsidP="00B82D70">
      <w:pPr>
        <w:spacing w:before="0" w:after="0"/>
        <w:rPr>
          <w:rFonts w:ascii="Arial" w:eastAsia="Times New Roman" w:hAnsi="Arial" w:cs="Arial"/>
          <w:b/>
          <w:bCs/>
          <w:color w:val="000000"/>
          <w:sz w:val="22"/>
          <w:szCs w:val="22"/>
          <w:lang w:eastAsia="es-MX"/>
        </w:rPr>
      </w:pPr>
      <w:r w:rsidRPr="005F6A99">
        <w:rPr>
          <w:rFonts w:eastAsia="Times New Roman" w:cs="Times New Roman"/>
          <w:b/>
          <w:color w:val="000000"/>
          <w:sz w:val="22"/>
          <w:szCs w:val="22"/>
          <w:lang w:eastAsia="es-MX"/>
        </w:rPr>
        <w:t>DERECHOS A RECIBIR EFECTIVO O EQUIVALENTES</w:t>
      </w:r>
    </w:p>
    <w:p w14:paraId="5EF5E2C7" w14:textId="6ED39A70" w:rsidR="0023083B" w:rsidRPr="005F6A99" w:rsidRDefault="0023083B" w:rsidP="00B82D70">
      <w:pPr>
        <w:spacing w:before="0" w:after="0"/>
        <w:rPr>
          <w:rFonts w:eastAsia="Times New Roman" w:cs="Times New Roman"/>
          <w:b/>
          <w:bCs/>
          <w:color w:val="000000"/>
          <w:sz w:val="22"/>
          <w:szCs w:val="22"/>
          <w:lang w:eastAsia="es-MX"/>
        </w:rPr>
      </w:pPr>
      <w:r w:rsidRPr="005F6A99">
        <w:rPr>
          <w:rFonts w:eastAsia="Times New Roman" w:cs="Times New Roman"/>
          <w:b/>
          <w:bCs/>
          <w:color w:val="000000"/>
          <w:sz w:val="22"/>
          <w:szCs w:val="22"/>
          <w:lang w:eastAsia="es-MX"/>
        </w:rPr>
        <w:t>2. CUENTAS PENDIENTES DE COBRO</w:t>
      </w:r>
    </w:p>
    <w:p w14:paraId="0794EEE7" w14:textId="32286FF6" w:rsidR="0023083B" w:rsidRPr="005F6A99" w:rsidRDefault="00E7156D" w:rsidP="00B82D70">
      <w:pPr>
        <w:spacing w:before="0" w:after="0"/>
        <w:rPr>
          <w:rFonts w:eastAsia="Times New Roman" w:cs="Times New Roman"/>
          <w:color w:val="000000"/>
          <w:sz w:val="22"/>
          <w:szCs w:val="22"/>
          <w:lang w:eastAsia="es-MX"/>
        </w:rPr>
      </w:pPr>
      <w:r w:rsidRPr="005F6A99">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7A50726E" w14:textId="77777777" w:rsidR="00B931C8" w:rsidRPr="005F6A99" w:rsidRDefault="00B931C8" w:rsidP="00B82D70">
      <w:pPr>
        <w:spacing w:before="0" w:after="0"/>
        <w:rPr>
          <w:rFonts w:eastAsia="Times New Roman" w:cs="Times New Roman"/>
          <w:color w:val="000000"/>
          <w:sz w:val="22"/>
          <w:szCs w:val="22"/>
          <w:lang w:eastAsia="es-MX"/>
        </w:rPr>
      </w:pPr>
    </w:p>
    <w:p w14:paraId="3CE15AA3" w14:textId="6A5182B1" w:rsidR="00B931C8" w:rsidRPr="005F6A99" w:rsidRDefault="00B931C8" w:rsidP="00B82D70">
      <w:pPr>
        <w:spacing w:before="0" w:after="0"/>
        <w:rPr>
          <w:rFonts w:eastAsia="Times New Roman" w:cs="Times New Roman"/>
          <w:color w:val="000000"/>
          <w:sz w:val="22"/>
          <w:szCs w:val="22"/>
          <w:lang w:eastAsia="es-MX"/>
        </w:rPr>
      </w:pPr>
      <w:r w:rsidRPr="005F6A99">
        <w:rPr>
          <w:noProof/>
          <w:lang w:val="es-MX" w:eastAsia="es-MX"/>
        </w:rPr>
        <w:drawing>
          <wp:inline distT="0" distB="0" distL="0" distR="0" wp14:anchorId="7AED6245" wp14:editId="61BEA875">
            <wp:extent cx="2095500" cy="1143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14:paraId="6A1D23A1" w14:textId="77777777" w:rsidR="00E7156D" w:rsidRPr="005F6A99" w:rsidRDefault="00E7156D" w:rsidP="00B82D70">
      <w:pPr>
        <w:spacing w:before="0" w:after="0"/>
        <w:rPr>
          <w:rFonts w:eastAsia="Times New Roman" w:cs="Times New Roman"/>
          <w:color w:val="000000"/>
          <w:sz w:val="22"/>
          <w:szCs w:val="22"/>
          <w:lang w:eastAsia="es-MX"/>
        </w:rPr>
      </w:pPr>
    </w:p>
    <w:p w14:paraId="2CBF6864" w14:textId="545C0AF4" w:rsidR="00B82D70" w:rsidRPr="005F6A99" w:rsidRDefault="0023083B" w:rsidP="00B82D70">
      <w:pPr>
        <w:spacing w:before="0" w:after="0"/>
        <w:rPr>
          <w:rFonts w:eastAsia="Times New Roman" w:cs="Times New Roman"/>
          <w:b/>
          <w:bCs/>
          <w:color w:val="000000"/>
          <w:sz w:val="22"/>
          <w:szCs w:val="22"/>
          <w:lang w:eastAsia="es-MX"/>
        </w:rPr>
      </w:pPr>
      <w:r w:rsidRPr="005F6A99">
        <w:rPr>
          <w:rFonts w:eastAsia="Times New Roman" w:cs="Times New Roman"/>
          <w:b/>
          <w:bCs/>
          <w:color w:val="000000"/>
          <w:sz w:val="22"/>
          <w:szCs w:val="22"/>
          <w:lang w:eastAsia="es-MX"/>
        </w:rPr>
        <w:lastRenderedPageBreak/>
        <w:t>3</w:t>
      </w:r>
      <w:r w:rsidR="00605B6D" w:rsidRPr="005F6A99">
        <w:rPr>
          <w:rFonts w:eastAsia="Times New Roman" w:cs="Times New Roman"/>
          <w:b/>
          <w:bCs/>
          <w:color w:val="000000"/>
          <w:sz w:val="22"/>
          <w:szCs w:val="22"/>
          <w:lang w:eastAsia="es-MX"/>
        </w:rPr>
        <w:t>. POR TIPO DE CONTRIBUCIÓN</w:t>
      </w:r>
    </w:p>
    <w:p w14:paraId="461483DE" w14:textId="4C162250" w:rsidR="00B82D70" w:rsidRPr="005F6A99" w:rsidRDefault="00B82D70" w:rsidP="00B82D70">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El saldo del rubro al 3</w:t>
      </w:r>
      <w:r w:rsidR="00A364F3" w:rsidRPr="005F6A99">
        <w:rPr>
          <w:rFonts w:eastAsia="Times New Roman" w:cs="Times New Roman"/>
          <w:color w:val="000000"/>
          <w:sz w:val="22"/>
          <w:szCs w:val="22"/>
          <w:lang w:eastAsia="es-MX"/>
        </w:rPr>
        <w:t>0</w:t>
      </w:r>
      <w:r w:rsidRPr="005F6A99">
        <w:rPr>
          <w:rFonts w:eastAsia="Times New Roman" w:cs="Times New Roman"/>
          <w:color w:val="000000"/>
          <w:sz w:val="22"/>
          <w:szCs w:val="22"/>
          <w:lang w:eastAsia="es-MX"/>
        </w:rPr>
        <w:t xml:space="preserve"> de </w:t>
      </w:r>
      <w:r w:rsidR="003C1B12" w:rsidRPr="005F6A99">
        <w:rPr>
          <w:rFonts w:eastAsia="Times New Roman" w:cs="Times New Roman"/>
          <w:color w:val="000000"/>
          <w:sz w:val="22"/>
          <w:szCs w:val="22"/>
          <w:lang w:eastAsia="es-MX"/>
        </w:rPr>
        <w:t xml:space="preserve">septiembre </w:t>
      </w:r>
      <w:r w:rsidRPr="005F6A99">
        <w:rPr>
          <w:rFonts w:eastAsia="Times New Roman" w:cs="Times New Roman"/>
          <w:color w:val="000000"/>
          <w:sz w:val="22"/>
          <w:szCs w:val="22"/>
          <w:lang w:eastAsia="es-MX"/>
        </w:rPr>
        <w:t>de 202</w:t>
      </w:r>
      <w:r w:rsidR="00136436" w:rsidRPr="005F6A99">
        <w:rPr>
          <w:rFonts w:eastAsia="Times New Roman" w:cs="Times New Roman"/>
          <w:color w:val="000000"/>
          <w:sz w:val="22"/>
          <w:szCs w:val="22"/>
          <w:lang w:eastAsia="es-MX"/>
        </w:rPr>
        <w:t>2</w:t>
      </w:r>
      <w:r w:rsidRPr="005F6A99">
        <w:rPr>
          <w:rFonts w:eastAsia="Times New Roman" w:cs="Times New Roman"/>
          <w:color w:val="000000"/>
          <w:sz w:val="22"/>
          <w:szCs w:val="22"/>
          <w:lang w:eastAsia="es-MX"/>
        </w:rPr>
        <w:t xml:space="preserve">, por </w:t>
      </w:r>
      <w:r w:rsidR="0023083B" w:rsidRPr="005F6A99">
        <w:rPr>
          <w:rFonts w:eastAsia="Times New Roman" w:cs="Times New Roman"/>
          <w:color w:val="000000"/>
          <w:sz w:val="22"/>
          <w:szCs w:val="22"/>
          <w:lang w:eastAsia="es-MX"/>
        </w:rPr>
        <w:t>3</w:t>
      </w:r>
      <w:r w:rsidRPr="005F6A99">
        <w:rPr>
          <w:rFonts w:eastAsia="Times New Roman" w:cs="Times New Roman"/>
          <w:color w:val="000000"/>
          <w:sz w:val="22"/>
          <w:szCs w:val="22"/>
          <w:lang w:eastAsia="es-MX"/>
        </w:rPr>
        <w:t xml:space="preserve"> mil </w:t>
      </w:r>
      <w:r w:rsidR="0023083B" w:rsidRPr="005F6A99">
        <w:rPr>
          <w:rFonts w:eastAsia="Times New Roman" w:cs="Times New Roman"/>
          <w:color w:val="000000"/>
          <w:sz w:val="22"/>
          <w:szCs w:val="22"/>
          <w:lang w:eastAsia="es-MX"/>
        </w:rPr>
        <w:t>108</w:t>
      </w:r>
      <w:r w:rsidRPr="005F6A99">
        <w:rPr>
          <w:rFonts w:eastAsia="Times New Roman" w:cs="Times New Roman"/>
          <w:color w:val="000000"/>
          <w:sz w:val="22"/>
          <w:szCs w:val="22"/>
          <w:lang w:eastAsia="es-MX"/>
        </w:rPr>
        <w:t xml:space="preserve"> millones </w:t>
      </w:r>
      <w:r w:rsidR="0023083B" w:rsidRPr="005F6A99">
        <w:rPr>
          <w:rFonts w:eastAsia="Times New Roman" w:cs="Times New Roman"/>
          <w:color w:val="000000"/>
          <w:sz w:val="22"/>
          <w:szCs w:val="22"/>
          <w:lang w:eastAsia="es-MX"/>
        </w:rPr>
        <w:t xml:space="preserve">166 </w:t>
      </w:r>
      <w:r w:rsidRPr="005F6A99">
        <w:rPr>
          <w:rFonts w:eastAsia="Times New Roman" w:cs="Times New Roman"/>
          <w:color w:val="000000"/>
          <w:sz w:val="22"/>
          <w:szCs w:val="22"/>
          <w:lang w:eastAsia="es-MX"/>
        </w:rPr>
        <w:t xml:space="preserve">mil </w:t>
      </w:r>
      <w:r w:rsidR="0023083B" w:rsidRPr="005F6A99">
        <w:rPr>
          <w:rFonts w:eastAsia="Times New Roman" w:cs="Times New Roman"/>
          <w:color w:val="000000"/>
          <w:sz w:val="22"/>
          <w:szCs w:val="22"/>
          <w:lang w:eastAsia="es-MX"/>
        </w:rPr>
        <w:t>135</w:t>
      </w:r>
      <w:r w:rsidRPr="005F6A99">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w:t>
      </w:r>
      <w:r w:rsidR="00F073C1" w:rsidRPr="005F6A99">
        <w:rPr>
          <w:rFonts w:eastAsia="Times New Roman" w:cs="Times New Roman"/>
          <w:color w:val="000000"/>
          <w:sz w:val="22"/>
          <w:szCs w:val="22"/>
          <w:lang w:eastAsia="es-MX"/>
        </w:rPr>
        <w:t>E</w:t>
      </w:r>
      <w:r w:rsidRPr="005F6A99">
        <w:rPr>
          <w:rFonts w:eastAsia="Times New Roman" w:cs="Times New Roman"/>
          <w:color w:val="000000"/>
          <w:sz w:val="22"/>
          <w:szCs w:val="22"/>
          <w:lang w:eastAsia="es-MX"/>
        </w:rPr>
        <w:t xml:space="preserve">ntes </w:t>
      </w:r>
      <w:r w:rsidR="00F073C1" w:rsidRPr="005F6A99">
        <w:rPr>
          <w:rFonts w:eastAsia="Times New Roman" w:cs="Times New Roman"/>
          <w:color w:val="000000"/>
          <w:sz w:val="22"/>
          <w:szCs w:val="22"/>
          <w:lang w:eastAsia="es-MX"/>
        </w:rPr>
        <w:t>P</w:t>
      </w:r>
      <w:r w:rsidRPr="005F6A99">
        <w:rPr>
          <w:rFonts w:eastAsia="Times New Roman" w:cs="Times New Roman"/>
          <w:color w:val="000000"/>
          <w:sz w:val="22"/>
          <w:szCs w:val="22"/>
          <w:lang w:eastAsia="es-MX"/>
        </w:rPr>
        <w:t>úblicos, por la</w:t>
      </w:r>
      <w:r w:rsidR="00BE4DE3" w:rsidRPr="005F6A99">
        <w:rPr>
          <w:rFonts w:eastAsia="Times New Roman" w:cs="Times New Roman"/>
          <w:color w:val="000000"/>
          <w:sz w:val="22"/>
          <w:szCs w:val="22"/>
          <w:lang w:eastAsia="es-MX"/>
        </w:rPr>
        <w:t>s</w:t>
      </w:r>
      <w:r w:rsidRPr="005F6A99">
        <w:rPr>
          <w:rFonts w:eastAsia="Times New Roman" w:cs="Times New Roman"/>
          <w:color w:val="000000"/>
          <w:sz w:val="22"/>
          <w:szCs w:val="22"/>
          <w:lang w:eastAsia="es-MX"/>
        </w:rPr>
        <w:t xml:space="preserve"> cuales se espera recibir una contraprestación representada en recursos, bienes o servicio, es decir, que aun cuando no son efectivo, serán recuperables en el transcurso del año, a continuación, se muestra su integración:</w:t>
      </w:r>
    </w:p>
    <w:p w14:paraId="2BF4F345" w14:textId="77777777" w:rsidR="00F00803" w:rsidRPr="005F6A99" w:rsidRDefault="00F00803" w:rsidP="00142B91">
      <w:pPr>
        <w:widowControl w:val="0"/>
        <w:tabs>
          <w:tab w:val="left" w:pos="945"/>
        </w:tabs>
        <w:kinsoku w:val="0"/>
        <w:spacing w:before="120" w:after="120"/>
        <w:contextualSpacing/>
        <w:rPr>
          <w:noProof/>
          <w:lang w:eastAsia="es-MX"/>
        </w:rPr>
      </w:pPr>
    </w:p>
    <w:p w14:paraId="0A9E3AA8" w14:textId="0FFDF437" w:rsidR="00B82D70" w:rsidRPr="005F6A99" w:rsidRDefault="0023083B" w:rsidP="00B4230F">
      <w:pPr>
        <w:widowControl w:val="0"/>
        <w:tabs>
          <w:tab w:val="left" w:pos="945"/>
        </w:tabs>
        <w:kinsoku w:val="0"/>
        <w:spacing w:before="120" w:after="120"/>
        <w:ind w:left="284"/>
        <w:contextualSpacing/>
        <w:jc w:val="center"/>
        <w:rPr>
          <w:rFonts w:eastAsia="Times New Roman" w:cs="Times New Roman"/>
          <w:color w:val="833C0B"/>
          <w:lang w:eastAsia="es-MX"/>
        </w:rPr>
      </w:pPr>
      <w:r w:rsidRPr="005F6A99">
        <w:rPr>
          <w:noProof/>
          <w:lang w:val="es-MX" w:eastAsia="es-MX"/>
        </w:rPr>
        <w:drawing>
          <wp:inline distT="0" distB="0" distL="0" distR="0" wp14:anchorId="56F5686E" wp14:editId="022DAF68">
            <wp:extent cx="6351270" cy="129794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1270" cy="1297940"/>
                    </a:xfrm>
                    <a:prstGeom prst="rect">
                      <a:avLst/>
                    </a:prstGeom>
                    <a:noFill/>
                    <a:ln>
                      <a:noFill/>
                    </a:ln>
                  </pic:spPr>
                </pic:pic>
              </a:graphicData>
            </a:graphic>
          </wp:inline>
        </w:drawing>
      </w:r>
    </w:p>
    <w:p w14:paraId="733CF44D" w14:textId="77777777" w:rsidR="00B82D70" w:rsidRPr="005F6A99"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Cuentas por cobrar a corto plazo:</w:t>
      </w:r>
    </w:p>
    <w:p w14:paraId="1F50DC79" w14:textId="6A5E8CCD" w:rsidR="00B82D70" w:rsidRPr="005F6A99" w:rsidRDefault="00B82D70" w:rsidP="00B4230F">
      <w:pPr>
        <w:widowControl w:val="0"/>
        <w:numPr>
          <w:ilvl w:val="0"/>
          <w:numId w:val="3"/>
        </w:numPr>
        <w:spacing w:before="120" w:after="120"/>
        <w:ind w:left="1418" w:hanging="425"/>
        <w:rPr>
          <w:rFonts w:eastAsia="Times New Roman" w:cs="Times New Roman"/>
          <w:sz w:val="22"/>
          <w:szCs w:val="22"/>
          <w:lang w:eastAsia="es-MX"/>
        </w:rPr>
      </w:pPr>
      <w:r w:rsidRPr="005F6A99">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DD1ADA" w:rsidRPr="005F6A99">
        <w:rPr>
          <w:rFonts w:eastAsia="Times New Roman" w:cs="Times New Roman"/>
          <w:sz w:val="22"/>
          <w:szCs w:val="22"/>
          <w:lang w:eastAsia="es-MX"/>
        </w:rPr>
        <w:t>trimestre</w:t>
      </w:r>
      <w:r w:rsidRPr="005F6A99">
        <w:rPr>
          <w:rFonts w:eastAsia="Times New Roman" w:cs="Times New Roman"/>
          <w:sz w:val="22"/>
          <w:szCs w:val="22"/>
          <w:lang w:eastAsia="es-MX"/>
        </w:rPr>
        <w:t xml:space="preserve"> se encuentran en trámite de recaudación.</w:t>
      </w:r>
    </w:p>
    <w:p w14:paraId="7C26CCBE" w14:textId="77777777" w:rsidR="00B82D70" w:rsidRPr="005F6A99"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 xml:space="preserve">Deudores Diversos por cobrar a corto plazo: </w:t>
      </w:r>
    </w:p>
    <w:p w14:paraId="77899D77" w14:textId="2EA64984" w:rsidR="00B82D70" w:rsidRPr="005F6A99" w:rsidRDefault="00B82D70" w:rsidP="00C04B49">
      <w:pPr>
        <w:widowControl w:val="0"/>
        <w:numPr>
          <w:ilvl w:val="0"/>
          <w:numId w:val="3"/>
        </w:numPr>
        <w:spacing w:before="0" w:after="0"/>
        <w:ind w:left="1495"/>
        <w:rPr>
          <w:rFonts w:eastAsia="Times New Roman" w:cs="Times New Roman"/>
          <w:sz w:val="22"/>
          <w:szCs w:val="22"/>
          <w:lang w:eastAsia="es-MX"/>
        </w:rPr>
      </w:pPr>
      <w:r w:rsidRPr="005F6A99">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sidRPr="005F6A99">
        <w:rPr>
          <w:rFonts w:eastAsia="Times New Roman" w:cs="Times New Roman"/>
          <w:sz w:val="22"/>
          <w:szCs w:val="22"/>
          <w:lang w:eastAsia="es-MX"/>
        </w:rPr>
        <w:t xml:space="preserve"> a través de documentos de pago provisionales y que no han regularizado, </w:t>
      </w:r>
      <w:r w:rsidRPr="005F6A99">
        <w:rPr>
          <w:rFonts w:eastAsia="Times New Roman" w:cs="Times New Roman"/>
          <w:sz w:val="22"/>
          <w:szCs w:val="22"/>
          <w:lang w:eastAsia="es-MX"/>
        </w:rPr>
        <w:t>así mismo, se incluyen en este mismo rubro, los adeudos por descuentos que la Federación hace al Estado de sus participaciones Federales</w:t>
      </w:r>
      <w:r w:rsidR="00E52CD9" w:rsidRPr="005F6A99">
        <w:rPr>
          <w:rFonts w:eastAsia="Times New Roman" w:cs="Times New Roman"/>
          <w:sz w:val="22"/>
          <w:szCs w:val="22"/>
          <w:lang w:eastAsia="es-MX"/>
        </w:rPr>
        <w:t>,</w:t>
      </w:r>
      <w:r w:rsidRPr="005F6A99">
        <w:rPr>
          <w:rFonts w:eastAsia="Times New Roman" w:cs="Times New Roman"/>
          <w:sz w:val="22"/>
          <w:szCs w:val="22"/>
          <w:lang w:eastAsia="es-MX"/>
        </w:rPr>
        <w:t xml:space="preserve"> por adeudos al Instituto Mexicano del Seguro Social y al </w:t>
      </w:r>
      <w:r w:rsidRPr="005F6A99">
        <w:rPr>
          <w:rFonts w:eastAsia="Calibri" w:cs="Times New Roman"/>
          <w:color w:val="000000"/>
          <w:sz w:val="22"/>
          <w:szCs w:val="22"/>
        </w:rPr>
        <w:t xml:space="preserve">Instituto de Seguridad y Servicios Sociales de </w:t>
      </w:r>
      <w:r w:rsidRPr="005F6A99">
        <w:rPr>
          <w:rFonts w:eastAsia="Calibri" w:cs="Times New Roman"/>
          <w:color w:val="000000"/>
          <w:sz w:val="22"/>
          <w:szCs w:val="22"/>
        </w:rPr>
        <w:lastRenderedPageBreak/>
        <w:t>los Trabajadores del Estado</w:t>
      </w:r>
      <w:r w:rsidR="00E52CD9" w:rsidRPr="005F6A99">
        <w:rPr>
          <w:rFonts w:eastAsia="Calibri" w:cs="Times New Roman"/>
          <w:color w:val="000000"/>
          <w:sz w:val="22"/>
          <w:szCs w:val="22"/>
        </w:rPr>
        <w:t>,</w:t>
      </w:r>
      <w:r w:rsidRPr="005F6A99">
        <w:rPr>
          <w:rFonts w:eastAsia="Times New Roman" w:cs="Times New Roman"/>
          <w:sz w:val="22"/>
          <w:szCs w:val="22"/>
          <w:lang w:eastAsia="es-MX"/>
        </w:rPr>
        <w:t xml:space="preserve"> </w:t>
      </w:r>
      <w:r w:rsidR="00E52CD9" w:rsidRPr="005F6A99">
        <w:rPr>
          <w:rFonts w:eastAsia="Times New Roman" w:cs="Times New Roman"/>
          <w:sz w:val="22"/>
          <w:szCs w:val="22"/>
          <w:lang w:eastAsia="es-MX"/>
        </w:rPr>
        <w:t>de las entidades y municipios,</w:t>
      </w:r>
      <w:r w:rsidRPr="005F6A99">
        <w:rPr>
          <w:rFonts w:eastAsia="Times New Roman" w:cs="Times New Roman"/>
          <w:sz w:val="22"/>
          <w:szCs w:val="22"/>
          <w:lang w:eastAsia="es-MX"/>
        </w:rPr>
        <w:t xml:space="preserve"> y que al 3</w:t>
      </w:r>
      <w:r w:rsidR="006918EB" w:rsidRPr="005F6A99">
        <w:rPr>
          <w:rFonts w:eastAsia="Times New Roman" w:cs="Times New Roman"/>
          <w:sz w:val="22"/>
          <w:szCs w:val="22"/>
          <w:lang w:eastAsia="es-MX"/>
        </w:rPr>
        <w:t>0</w:t>
      </w:r>
      <w:r w:rsidRPr="005F6A99">
        <w:rPr>
          <w:rFonts w:eastAsia="Times New Roman" w:cs="Times New Roman"/>
          <w:sz w:val="22"/>
          <w:szCs w:val="22"/>
          <w:lang w:eastAsia="es-MX"/>
        </w:rPr>
        <w:t xml:space="preserve"> de  </w:t>
      </w:r>
      <w:r w:rsidR="008E4AC2" w:rsidRPr="005F6A99">
        <w:rPr>
          <w:rFonts w:eastAsia="Times New Roman" w:cs="Times New Roman"/>
          <w:sz w:val="22"/>
          <w:szCs w:val="22"/>
          <w:lang w:eastAsia="es-MX"/>
        </w:rPr>
        <w:t>septiembre</w:t>
      </w:r>
      <w:r w:rsidRPr="005F6A99">
        <w:rPr>
          <w:rFonts w:eastAsia="Times New Roman" w:cs="Times New Roman"/>
          <w:sz w:val="22"/>
          <w:szCs w:val="22"/>
          <w:lang w:eastAsia="es-MX"/>
        </w:rPr>
        <w:t xml:space="preserve"> de 202</w:t>
      </w:r>
      <w:r w:rsidR="00395558" w:rsidRPr="005F6A99">
        <w:rPr>
          <w:rFonts w:eastAsia="Times New Roman" w:cs="Times New Roman"/>
          <w:sz w:val="22"/>
          <w:szCs w:val="22"/>
          <w:lang w:eastAsia="es-MX"/>
        </w:rPr>
        <w:t>2</w:t>
      </w:r>
      <w:r w:rsidRPr="005F6A99">
        <w:rPr>
          <w:rFonts w:eastAsia="Times New Roman" w:cs="Times New Roman"/>
          <w:sz w:val="22"/>
          <w:szCs w:val="22"/>
          <w:lang w:eastAsia="es-MX"/>
        </w:rPr>
        <w:t xml:space="preserve"> no regularizaron, además, de los adeudos de terceros comerciales por concepto de cheques cancelados de nóminas.</w:t>
      </w:r>
    </w:p>
    <w:p w14:paraId="756AD597" w14:textId="77777777" w:rsidR="00B82D70" w:rsidRPr="005F6A99" w:rsidRDefault="00B82D70" w:rsidP="00B82D70">
      <w:pPr>
        <w:widowControl w:val="0"/>
        <w:spacing w:before="0" w:after="0"/>
        <w:ind w:left="1418"/>
        <w:rPr>
          <w:rFonts w:eastAsia="Times New Roman" w:cs="Times New Roman"/>
          <w:sz w:val="22"/>
          <w:szCs w:val="22"/>
          <w:lang w:eastAsia="es-MX"/>
        </w:rPr>
      </w:pPr>
    </w:p>
    <w:p w14:paraId="11A39D9B" w14:textId="30A4457D" w:rsidR="00C0303A" w:rsidRPr="005F6A99" w:rsidRDefault="00B82D70" w:rsidP="00395558">
      <w:pPr>
        <w:widowControl w:val="0"/>
        <w:numPr>
          <w:ilvl w:val="0"/>
          <w:numId w:val="3"/>
        </w:numPr>
        <w:spacing w:before="0" w:after="0"/>
        <w:ind w:left="1418" w:hanging="425"/>
        <w:rPr>
          <w:sz w:val="22"/>
          <w:szCs w:val="22"/>
        </w:rPr>
      </w:pPr>
      <w:r w:rsidRPr="005F6A99">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4CE204DF" w14:textId="77777777" w:rsidR="00B82D70" w:rsidRPr="005F6A99" w:rsidRDefault="00B82D70" w:rsidP="00B82D70">
      <w:pPr>
        <w:widowControl w:val="0"/>
        <w:spacing w:before="0" w:after="0"/>
        <w:rPr>
          <w:rFonts w:eastAsia="Times New Roman" w:cs="Times New Roman"/>
          <w:sz w:val="22"/>
          <w:szCs w:val="22"/>
          <w:lang w:eastAsia="es-MX"/>
        </w:rPr>
      </w:pPr>
    </w:p>
    <w:p w14:paraId="15E1B662" w14:textId="77777777" w:rsidR="00B82D70" w:rsidRPr="005F6A99" w:rsidRDefault="00B82D70" w:rsidP="00C04B49">
      <w:pPr>
        <w:widowControl w:val="0"/>
        <w:numPr>
          <w:ilvl w:val="0"/>
          <w:numId w:val="3"/>
        </w:numPr>
        <w:kinsoku w:val="0"/>
        <w:spacing w:before="0" w:after="0"/>
        <w:ind w:left="1418" w:hanging="425"/>
        <w:contextualSpacing/>
        <w:rPr>
          <w:rFonts w:eastAsia="Times New Roman" w:cs="Times New Roman"/>
          <w:sz w:val="22"/>
          <w:szCs w:val="22"/>
          <w:lang w:eastAsia="es-MX"/>
        </w:rPr>
      </w:pPr>
      <w:r w:rsidRPr="005F6A99">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1F19FBA6" w14:textId="77777777" w:rsidR="00B82D70" w:rsidRPr="005F6A99" w:rsidRDefault="00B82D70" w:rsidP="00B82D70">
      <w:pPr>
        <w:widowControl w:val="0"/>
        <w:kinsoku w:val="0"/>
        <w:spacing w:before="0" w:after="0"/>
        <w:contextualSpacing/>
        <w:rPr>
          <w:rFonts w:eastAsia="Times New Roman" w:cs="Times New Roman"/>
          <w:sz w:val="22"/>
          <w:szCs w:val="22"/>
          <w:lang w:eastAsia="es-MX"/>
        </w:rPr>
      </w:pPr>
    </w:p>
    <w:p w14:paraId="42D7D12B" w14:textId="77777777" w:rsidR="00B82D70" w:rsidRPr="005F6A99"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Ingresos por recuperar a corto plazo:</w:t>
      </w:r>
    </w:p>
    <w:p w14:paraId="0C118EEA" w14:textId="5642A29A" w:rsidR="00B82D70" w:rsidRPr="005F6A99" w:rsidRDefault="00B82D70" w:rsidP="00B4230F">
      <w:pPr>
        <w:widowControl w:val="0"/>
        <w:numPr>
          <w:ilvl w:val="0"/>
          <w:numId w:val="3"/>
        </w:numPr>
        <w:spacing w:before="120" w:after="120"/>
        <w:ind w:left="1418" w:hanging="425"/>
        <w:rPr>
          <w:rFonts w:eastAsia="Times New Roman" w:cs="Times New Roman"/>
          <w:sz w:val="22"/>
          <w:szCs w:val="22"/>
          <w:lang w:eastAsia="es-MX"/>
        </w:rPr>
      </w:pPr>
      <w:r w:rsidRPr="005F6A99">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18A47084" w14:textId="0675F26A" w:rsidR="00B82D70" w:rsidRPr="005F6A99"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Deudores por anticipos</w:t>
      </w:r>
      <w:r w:rsidR="006918EB" w:rsidRPr="005F6A99">
        <w:rPr>
          <w:rFonts w:eastAsia="Times New Roman" w:cs="Times New Roman"/>
          <w:b/>
          <w:color w:val="000000"/>
          <w:sz w:val="22"/>
          <w:szCs w:val="22"/>
          <w:lang w:eastAsia="es-MX"/>
        </w:rPr>
        <w:t xml:space="preserve"> de Tesorería</w:t>
      </w:r>
      <w:r w:rsidRPr="005F6A99">
        <w:rPr>
          <w:rFonts w:eastAsia="Times New Roman" w:cs="Times New Roman"/>
          <w:b/>
          <w:color w:val="000000"/>
          <w:sz w:val="22"/>
          <w:szCs w:val="22"/>
          <w:lang w:eastAsia="es-MX"/>
        </w:rPr>
        <w:t xml:space="preserve"> a corto plazo:</w:t>
      </w:r>
    </w:p>
    <w:p w14:paraId="190EC017" w14:textId="761D3891" w:rsidR="00B82D70" w:rsidRPr="005F6A99" w:rsidRDefault="00B82D70" w:rsidP="00B4230F">
      <w:pPr>
        <w:pStyle w:val="Prrafodelista"/>
        <w:numPr>
          <w:ilvl w:val="0"/>
          <w:numId w:val="3"/>
        </w:numPr>
        <w:spacing w:line="360" w:lineRule="auto"/>
        <w:jc w:val="both"/>
        <w:rPr>
          <w:rFonts w:ascii="GalanoGrotesque-Light" w:hAnsi="GalanoGrotesque-Light"/>
          <w:sz w:val="22"/>
          <w:szCs w:val="22"/>
          <w:lang w:val="es-MX"/>
        </w:rPr>
      </w:pPr>
      <w:r w:rsidRPr="005F6A99">
        <w:rPr>
          <w:rFonts w:ascii="GalanoGrotesque-Light" w:hAnsi="GalanoGrotesque-Light"/>
          <w:sz w:val="22"/>
          <w:szCs w:val="22"/>
          <w:lang w:val="es-MX"/>
        </w:rPr>
        <w:t>Corresponde a los fondos revolventes asignados a las dependencias para su operación.</w:t>
      </w:r>
    </w:p>
    <w:p w14:paraId="65EBFBB5" w14:textId="77777777" w:rsidR="00B82D70" w:rsidRPr="005F6A99" w:rsidRDefault="00B82D70" w:rsidP="00B82D70">
      <w:pPr>
        <w:widowControl w:val="0"/>
        <w:kinsoku w:val="0"/>
        <w:spacing w:before="0" w:after="0"/>
        <w:ind w:left="426"/>
        <w:contextualSpacing/>
        <w:rPr>
          <w:rFonts w:eastAsia="Times New Roman" w:cs="Times New Roman"/>
          <w:b/>
          <w:sz w:val="22"/>
          <w:szCs w:val="22"/>
          <w:lang w:eastAsia="es-MX"/>
        </w:rPr>
      </w:pPr>
      <w:r w:rsidRPr="005F6A99">
        <w:rPr>
          <w:rFonts w:eastAsia="Times New Roman" w:cs="Times New Roman"/>
          <w:b/>
          <w:sz w:val="22"/>
          <w:szCs w:val="22"/>
          <w:lang w:eastAsia="es-MX"/>
        </w:rPr>
        <w:t>Préstamos otorgados a corto plazo:</w:t>
      </w:r>
    </w:p>
    <w:p w14:paraId="6FF60A2F" w14:textId="478D5346" w:rsidR="00B82D70" w:rsidRPr="005F6A99" w:rsidRDefault="00B82D70" w:rsidP="00B4230F">
      <w:pPr>
        <w:pStyle w:val="Prrafodelista"/>
        <w:numPr>
          <w:ilvl w:val="0"/>
          <w:numId w:val="3"/>
        </w:numPr>
        <w:spacing w:line="360" w:lineRule="auto"/>
        <w:jc w:val="both"/>
        <w:rPr>
          <w:rFonts w:ascii="GalanoGrotesque-Light" w:hAnsi="GalanoGrotesque-Light"/>
          <w:sz w:val="22"/>
          <w:szCs w:val="22"/>
          <w:lang w:val="es-MX"/>
        </w:rPr>
      </w:pPr>
      <w:r w:rsidRPr="005F6A99">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5F6A99" w:rsidRDefault="00B82D70" w:rsidP="00B82D70">
      <w:pPr>
        <w:widowControl w:val="0"/>
        <w:kinsoku w:val="0"/>
        <w:spacing w:before="0" w:after="0"/>
        <w:ind w:left="426"/>
        <w:contextualSpacing/>
        <w:rPr>
          <w:rFonts w:eastAsia="Times New Roman" w:cs="Times New Roman"/>
          <w:b/>
          <w:sz w:val="22"/>
          <w:szCs w:val="22"/>
          <w:lang w:eastAsia="es-MX"/>
        </w:rPr>
      </w:pPr>
      <w:r w:rsidRPr="005F6A99">
        <w:rPr>
          <w:rFonts w:eastAsia="Times New Roman" w:cs="Times New Roman"/>
          <w:b/>
          <w:sz w:val="22"/>
          <w:szCs w:val="22"/>
          <w:lang w:eastAsia="es-MX"/>
        </w:rPr>
        <w:lastRenderedPageBreak/>
        <w:t>Otros derechos a recibir efectivo o equivalentes a corto plazo:</w:t>
      </w:r>
    </w:p>
    <w:p w14:paraId="55F277E0" w14:textId="573CFC12" w:rsidR="00B82D70" w:rsidRPr="005F6A99" w:rsidRDefault="00B82D70" w:rsidP="00B4230F">
      <w:pPr>
        <w:pStyle w:val="Prrafodelista"/>
        <w:numPr>
          <w:ilvl w:val="0"/>
          <w:numId w:val="3"/>
        </w:numPr>
        <w:spacing w:line="360" w:lineRule="auto"/>
        <w:jc w:val="both"/>
        <w:rPr>
          <w:rFonts w:ascii="GalanoGrotesque-Light" w:hAnsi="GalanoGrotesque-Light"/>
          <w:sz w:val="22"/>
          <w:szCs w:val="22"/>
          <w:lang w:val="es-MX"/>
        </w:rPr>
      </w:pPr>
      <w:r w:rsidRPr="005F6A99">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599F1F0C" w14:textId="77777777" w:rsidR="0029041D" w:rsidRPr="005F6A99" w:rsidRDefault="0029041D" w:rsidP="0029041D">
      <w:pPr>
        <w:pStyle w:val="Prrafodelista"/>
        <w:spacing w:line="360" w:lineRule="auto"/>
        <w:ind w:left="1429"/>
        <w:jc w:val="both"/>
        <w:rPr>
          <w:rFonts w:ascii="GalanoGrotesque-Light" w:hAnsi="GalanoGrotesque-Light"/>
          <w:sz w:val="22"/>
          <w:szCs w:val="22"/>
          <w:lang w:val="es-MX"/>
        </w:rPr>
      </w:pPr>
    </w:p>
    <w:p w14:paraId="72A636AA" w14:textId="7C9F5AED" w:rsidR="00A71085" w:rsidRPr="005F6A99" w:rsidRDefault="00A71085" w:rsidP="00A71085">
      <w:pPr>
        <w:rPr>
          <w:b/>
          <w:bCs/>
          <w:sz w:val="22"/>
          <w:szCs w:val="22"/>
          <w:lang w:val="es-MX"/>
        </w:rPr>
      </w:pPr>
      <w:r w:rsidRPr="005F6A99">
        <w:rPr>
          <w:b/>
          <w:bCs/>
          <w:sz w:val="22"/>
          <w:szCs w:val="22"/>
          <w:lang w:val="es-MX"/>
        </w:rPr>
        <w:t>BIENES DISPONIBLES PARA SU TRANSFORMACIÓN O CONSUMO (INVENTARIOS)</w:t>
      </w:r>
    </w:p>
    <w:p w14:paraId="14981E4E" w14:textId="77777777" w:rsidR="0029041D" w:rsidRPr="005F6A99" w:rsidRDefault="0029041D" w:rsidP="00A71085">
      <w:pPr>
        <w:rPr>
          <w:sz w:val="22"/>
          <w:szCs w:val="22"/>
          <w:lang w:val="es-MX"/>
        </w:rPr>
      </w:pPr>
    </w:p>
    <w:p w14:paraId="08701FC0" w14:textId="4876E766" w:rsidR="00A71085" w:rsidRPr="005F6A99" w:rsidRDefault="00A71085" w:rsidP="00A71085">
      <w:pPr>
        <w:rPr>
          <w:b/>
          <w:bCs/>
          <w:sz w:val="22"/>
          <w:szCs w:val="22"/>
          <w:lang w:val="es-MX"/>
        </w:rPr>
      </w:pPr>
      <w:r w:rsidRPr="005F6A99">
        <w:rPr>
          <w:b/>
          <w:bCs/>
          <w:sz w:val="22"/>
          <w:szCs w:val="22"/>
          <w:lang w:val="es-MX"/>
        </w:rPr>
        <w:t>4.- BIENES DISPONIBLES PARA SU TRANSFORMACIÓN</w:t>
      </w:r>
    </w:p>
    <w:p w14:paraId="28B5A746" w14:textId="51533FBB" w:rsidR="00623CDF" w:rsidRPr="005F6A99" w:rsidRDefault="00A71085" w:rsidP="00A71085">
      <w:pPr>
        <w:rPr>
          <w:sz w:val="22"/>
          <w:szCs w:val="22"/>
          <w:lang w:val="es-MX"/>
        </w:rPr>
      </w:pPr>
      <w:r w:rsidRPr="005F6A99">
        <w:rPr>
          <w:sz w:val="22"/>
          <w:szCs w:val="22"/>
          <w:lang w:val="es-MX"/>
        </w:rPr>
        <w:t>Esta nota no aplica, en vista de que el Gobierno del Estado de Michoacán</w:t>
      </w:r>
      <w:r w:rsidR="00623CDF" w:rsidRPr="005F6A99">
        <w:rPr>
          <w:sz w:val="22"/>
          <w:szCs w:val="22"/>
          <w:lang w:val="es-MX"/>
        </w:rPr>
        <w:t xml:space="preserve"> no transforma bienes.</w:t>
      </w:r>
    </w:p>
    <w:p w14:paraId="1033FE9F" w14:textId="2A37C4DB" w:rsidR="00623CDF" w:rsidRPr="005F6A99" w:rsidRDefault="00623CDF" w:rsidP="00A71085">
      <w:pPr>
        <w:rPr>
          <w:b/>
          <w:bCs/>
          <w:sz w:val="22"/>
          <w:szCs w:val="22"/>
          <w:lang w:val="es-MX"/>
        </w:rPr>
      </w:pPr>
      <w:r w:rsidRPr="005F6A99">
        <w:rPr>
          <w:b/>
          <w:bCs/>
          <w:sz w:val="22"/>
          <w:szCs w:val="22"/>
          <w:lang w:val="es-MX"/>
        </w:rPr>
        <w:t>5.- ALMACÉN</w:t>
      </w:r>
    </w:p>
    <w:p w14:paraId="3887CB51" w14:textId="1F8BCD64" w:rsidR="00623CDF" w:rsidRPr="005F6A99" w:rsidRDefault="00623CDF" w:rsidP="00A71085">
      <w:pPr>
        <w:rPr>
          <w:sz w:val="22"/>
          <w:szCs w:val="22"/>
          <w:lang w:val="es-MX"/>
        </w:rPr>
      </w:pPr>
      <w:r w:rsidRPr="005F6A99">
        <w:rPr>
          <w:sz w:val="22"/>
          <w:szCs w:val="22"/>
          <w:lang w:val="es-MX"/>
        </w:rPr>
        <w:t xml:space="preserve">El saldo por 578 </w:t>
      </w:r>
      <w:proofErr w:type="gramStart"/>
      <w:r w:rsidRPr="005F6A99">
        <w:rPr>
          <w:sz w:val="22"/>
          <w:szCs w:val="22"/>
          <w:lang w:val="es-MX"/>
        </w:rPr>
        <w:t>mil 456 pesos de la cuenta de almacenes corresponde</w:t>
      </w:r>
      <w:proofErr w:type="gramEnd"/>
      <w:r w:rsidRPr="005F6A99">
        <w:rPr>
          <w:sz w:val="22"/>
          <w:szCs w:val="22"/>
          <w:lang w:val="es-MX"/>
        </w:rPr>
        <w:t xml:space="preserve"> a las existencias de materiales y útiles de oficina, materiales para el procesamiento de equipos informáticos, material eléctrico y electrónico, así como de herramientas menores.</w:t>
      </w:r>
    </w:p>
    <w:tbl>
      <w:tblPr>
        <w:tblW w:w="7121" w:type="dxa"/>
        <w:jc w:val="center"/>
        <w:tblCellMar>
          <w:left w:w="70" w:type="dxa"/>
          <w:right w:w="70" w:type="dxa"/>
        </w:tblCellMar>
        <w:tblLook w:val="04A0" w:firstRow="1" w:lastRow="0" w:firstColumn="1" w:lastColumn="0" w:noHBand="0" w:noVBand="1"/>
      </w:tblPr>
      <w:tblGrid>
        <w:gridCol w:w="5921"/>
        <w:gridCol w:w="1200"/>
      </w:tblGrid>
      <w:tr w:rsidR="00623CDF" w:rsidRPr="005F6A99" w14:paraId="2073B313" w14:textId="77777777" w:rsidTr="0001665D">
        <w:trPr>
          <w:trHeight w:val="255"/>
          <w:jc w:val="center"/>
        </w:trPr>
        <w:tc>
          <w:tcPr>
            <w:tcW w:w="5921" w:type="dxa"/>
            <w:tcBorders>
              <w:top w:val="single" w:sz="4" w:space="0" w:color="000000"/>
              <w:left w:val="single" w:sz="4" w:space="0" w:color="000000"/>
              <w:bottom w:val="single" w:sz="4" w:space="0" w:color="000000"/>
              <w:right w:val="nil"/>
            </w:tcBorders>
            <w:shd w:val="clear" w:color="000000" w:fill="000000"/>
            <w:noWrap/>
            <w:vAlign w:val="bottom"/>
            <w:hideMark/>
          </w:tcPr>
          <w:p w14:paraId="4FAD1C18" w14:textId="77777777" w:rsidR="00623CDF" w:rsidRPr="005F6A99" w:rsidRDefault="00623CDF" w:rsidP="00623CDF">
            <w:pPr>
              <w:spacing w:before="0" w:after="0" w:line="240" w:lineRule="auto"/>
              <w:jc w:val="center"/>
              <w:rPr>
                <w:rFonts w:ascii="Arial" w:eastAsia="Times New Roman" w:hAnsi="Arial" w:cs="Arial"/>
                <w:b/>
                <w:bCs/>
                <w:color w:val="FFFFFF"/>
                <w:sz w:val="20"/>
                <w:szCs w:val="20"/>
                <w:lang w:val="es-MX" w:eastAsia="es-MX"/>
              </w:rPr>
            </w:pPr>
            <w:r w:rsidRPr="005F6A99">
              <w:rPr>
                <w:rFonts w:ascii="Arial" w:eastAsia="Times New Roman" w:hAnsi="Arial" w:cs="Arial"/>
                <w:b/>
                <w:bCs/>
                <w:color w:val="FFFFFF"/>
                <w:sz w:val="20"/>
                <w:szCs w:val="20"/>
                <w:lang w:val="es-MX" w:eastAsia="es-MX"/>
              </w:rPr>
              <w:t>CUENTA</w:t>
            </w:r>
          </w:p>
        </w:tc>
        <w:tc>
          <w:tcPr>
            <w:tcW w:w="1200" w:type="dxa"/>
            <w:tcBorders>
              <w:top w:val="single" w:sz="4" w:space="0" w:color="000000"/>
              <w:left w:val="nil"/>
              <w:bottom w:val="single" w:sz="4" w:space="0" w:color="000000"/>
              <w:right w:val="single" w:sz="4" w:space="0" w:color="000000"/>
            </w:tcBorders>
            <w:shd w:val="clear" w:color="000000" w:fill="000000"/>
            <w:noWrap/>
            <w:vAlign w:val="bottom"/>
            <w:hideMark/>
          </w:tcPr>
          <w:p w14:paraId="3F1B96C4" w14:textId="77777777" w:rsidR="00623CDF" w:rsidRPr="005F6A99" w:rsidRDefault="00623CDF" w:rsidP="00623CDF">
            <w:pPr>
              <w:spacing w:before="0" w:after="0" w:line="240" w:lineRule="auto"/>
              <w:jc w:val="center"/>
              <w:rPr>
                <w:rFonts w:ascii="Arial" w:eastAsia="Times New Roman" w:hAnsi="Arial" w:cs="Arial"/>
                <w:b/>
                <w:bCs/>
                <w:color w:val="FFFFFF"/>
                <w:sz w:val="20"/>
                <w:szCs w:val="20"/>
                <w:lang w:val="es-MX" w:eastAsia="es-MX"/>
              </w:rPr>
            </w:pPr>
            <w:r w:rsidRPr="005F6A99">
              <w:rPr>
                <w:rFonts w:ascii="Arial" w:eastAsia="Times New Roman" w:hAnsi="Arial" w:cs="Arial"/>
                <w:b/>
                <w:bCs/>
                <w:color w:val="FFFFFF"/>
                <w:sz w:val="20"/>
                <w:szCs w:val="20"/>
                <w:lang w:val="es-MX" w:eastAsia="es-MX"/>
              </w:rPr>
              <w:t>MONTO</w:t>
            </w:r>
          </w:p>
        </w:tc>
      </w:tr>
      <w:tr w:rsidR="00623CDF" w:rsidRPr="005F6A99" w14:paraId="12B4CC12" w14:textId="77777777" w:rsidTr="0001665D">
        <w:trPr>
          <w:trHeight w:val="255"/>
          <w:jc w:val="center"/>
        </w:trPr>
        <w:tc>
          <w:tcPr>
            <w:tcW w:w="5921" w:type="dxa"/>
            <w:tcBorders>
              <w:top w:val="single" w:sz="4" w:space="0" w:color="000000"/>
              <w:left w:val="single" w:sz="4" w:space="0" w:color="000000"/>
              <w:bottom w:val="single" w:sz="4" w:space="0" w:color="000000"/>
              <w:right w:val="nil"/>
            </w:tcBorders>
            <w:shd w:val="clear" w:color="D9D9D9" w:fill="D9D9D9"/>
            <w:noWrap/>
            <w:vAlign w:val="bottom"/>
            <w:hideMark/>
          </w:tcPr>
          <w:p w14:paraId="11A99986" w14:textId="77777777" w:rsidR="00623CDF" w:rsidRPr="005F6A99" w:rsidRDefault="00623CDF" w:rsidP="00623CDF">
            <w:pPr>
              <w:spacing w:before="0" w:after="0" w:line="240" w:lineRule="auto"/>
              <w:jc w:val="lef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MATERIALES Y ÚTILES DE OFICINA</w:t>
            </w:r>
          </w:p>
        </w:tc>
        <w:tc>
          <w:tcPr>
            <w:tcW w:w="1200" w:type="dxa"/>
            <w:tcBorders>
              <w:top w:val="single" w:sz="4" w:space="0" w:color="000000"/>
              <w:left w:val="nil"/>
              <w:bottom w:val="single" w:sz="4" w:space="0" w:color="000000"/>
              <w:right w:val="single" w:sz="4" w:space="0" w:color="000000"/>
            </w:tcBorders>
            <w:shd w:val="clear" w:color="D9D9D9" w:fill="D9D9D9"/>
            <w:noWrap/>
            <w:vAlign w:val="bottom"/>
            <w:hideMark/>
          </w:tcPr>
          <w:p w14:paraId="3273774E" w14:textId="77777777" w:rsidR="00623CDF" w:rsidRPr="005F6A99" w:rsidRDefault="00623CDF" w:rsidP="00623CDF">
            <w:pPr>
              <w:spacing w:before="0" w:after="0" w:line="240" w:lineRule="auto"/>
              <w:jc w:val="righ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155,501</w:t>
            </w:r>
          </w:p>
        </w:tc>
      </w:tr>
      <w:tr w:rsidR="00623CDF" w:rsidRPr="005F6A99" w14:paraId="3D441022" w14:textId="77777777" w:rsidTr="0001665D">
        <w:trPr>
          <w:trHeight w:val="255"/>
          <w:jc w:val="center"/>
        </w:trPr>
        <w:tc>
          <w:tcPr>
            <w:tcW w:w="5921" w:type="dxa"/>
            <w:tcBorders>
              <w:top w:val="single" w:sz="4" w:space="0" w:color="000000"/>
              <w:left w:val="single" w:sz="4" w:space="0" w:color="000000"/>
              <w:bottom w:val="single" w:sz="4" w:space="0" w:color="000000"/>
              <w:right w:val="nil"/>
            </w:tcBorders>
            <w:shd w:val="clear" w:color="auto" w:fill="auto"/>
            <w:noWrap/>
            <w:vAlign w:val="bottom"/>
            <w:hideMark/>
          </w:tcPr>
          <w:p w14:paraId="3D05951F" w14:textId="77777777" w:rsidR="00623CDF" w:rsidRPr="005F6A99" w:rsidRDefault="00623CDF" w:rsidP="00623CDF">
            <w:pPr>
              <w:spacing w:before="0" w:after="0" w:line="240" w:lineRule="auto"/>
              <w:jc w:val="lef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MATERIALES Y ÚTILES PARA EL PROCESAMIENTO EQUIPOS</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A36A426" w14:textId="77777777" w:rsidR="00623CDF" w:rsidRPr="005F6A99" w:rsidRDefault="00623CDF" w:rsidP="00623CDF">
            <w:pPr>
              <w:spacing w:before="0" w:after="0" w:line="240" w:lineRule="auto"/>
              <w:jc w:val="righ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140,391</w:t>
            </w:r>
          </w:p>
        </w:tc>
      </w:tr>
      <w:tr w:rsidR="00623CDF" w:rsidRPr="005F6A99" w14:paraId="6784E7FF" w14:textId="77777777" w:rsidTr="0001665D">
        <w:trPr>
          <w:trHeight w:val="255"/>
          <w:jc w:val="center"/>
        </w:trPr>
        <w:tc>
          <w:tcPr>
            <w:tcW w:w="5921" w:type="dxa"/>
            <w:tcBorders>
              <w:top w:val="single" w:sz="4" w:space="0" w:color="000000"/>
              <w:left w:val="single" w:sz="4" w:space="0" w:color="000000"/>
              <w:bottom w:val="single" w:sz="4" w:space="0" w:color="000000"/>
              <w:right w:val="nil"/>
            </w:tcBorders>
            <w:shd w:val="clear" w:color="D9D9D9" w:fill="D9D9D9"/>
            <w:noWrap/>
            <w:vAlign w:val="bottom"/>
            <w:hideMark/>
          </w:tcPr>
          <w:p w14:paraId="772BC961" w14:textId="77777777" w:rsidR="00623CDF" w:rsidRPr="005F6A99" w:rsidRDefault="00623CDF" w:rsidP="00623CDF">
            <w:pPr>
              <w:spacing w:before="0" w:after="0" w:line="240" w:lineRule="auto"/>
              <w:jc w:val="lef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MATERIAL ELECTRICO Y ELECTRÓNICO</w:t>
            </w:r>
          </w:p>
        </w:tc>
        <w:tc>
          <w:tcPr>
            <w:tcW w:w="1200" w:type="dxa"/>
            <w:tcBorders>
              <w:top w:val="single" w:sz="4" w:space="0" w:color="000000"/>
              <w:left w:val="nil"/>
              <w:bottom w:val="single" w:sz="4" w:space="0" w:color="000000"/>
              <w:right w:val="single" w:sz="4" w:space="0" w:color="000000"/>
            </w:tcBorders>
            <w:shd w:val="clear" w:color="D9D9D9" w:fill="D9D9D9"/>
            <w:noWrap/>
            <w:vAlign w:val="bottom"/>
            <w:hideMark/>
          </w:tcPr>
          <w:p w14:paraId="65D9970E" w14:textId="77777777" w:rsidR="00623CDF" w:rsidRPr="005F6A99" w:rsidRDefault="00623CDF" w:rsidP="00623CDF">
            <w:pPr>
              <w:spacing w:before="0" w:after="0" w:line="240" w:lineRule="auto"/>
              <w:jc w:val="righ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82,342</w:t>
            </w:r>
          </w:p>
        </w:tc>
      </w:tr>
      <w:tr w:rsidR="00623CDF" w:rsidRPr="005F6A99" w14:paraId="6EBA6FDD" w14:textId="77777777" w:rsidTr="0001665D">
        <w:trPr>
          <w:trHeight w:val="255"/>
          <w:jc w:val="center"/>
        </w:trPr>
        <w:tc>
          <w:tcPr>
            <w:tcW w:w="5921" w:type="dxa"/>
            <w:tcBorders>
              <w:top w:val="single" w:sz="4" w:space="0" w:color="000000"/>
              <w:left w:val="single" w:sz="4" w:space="0" w:color="000000"/>
              <w:bottom w:val="single" w:sz="4" w:space="0" w:color="000000"/>
              <w:right w:val="nil"/>
            </w:tcBorders>
            <w:shd w:val="clear" w:color="auto" w:fill="auto"/>
            <w:noWrap/>
            <w:vAlign w:val="bottom"/>
            <w:hideMark/>
          </w:tcPr>
          <w:p w14:paraId="70C521C3" w14:textId="77777777" w:rsidR="00623CDF" w:rsidRPr="005F6A99" w:rsidRDefault="00623CDF" w:rsidP="00623CDF">
            <w:pPr>
              <w:spacing w:before="0" w:after="0" w:line="240" w:lineRule="auto"/>
              <w:jc w:val="lef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HERRAMIENTAS MENORES</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5AD26E8" w14:textId="77777777" w:rsidR="00623CDF" w:rsidRPr="005F6A99" w:rsidRDefault="00623CDF" w:rsidP="00623CDF">
            <w:pPr>
              <w:spacing w:before="0" w:after="0" w:line="240" w:lineRule="auto"/>
              <w:jc w:val="right"/>
              <w:rPr>
                <w:rFonts w:ascii="Arial" w:eastAsia="Times New Roman" w:hAnsi="Arial" w:cs="Arial"/>
                <w:color w:val="000000"/>
                <w:sz w:val="20"/>
                <w:szCs w:val="20"/>
                <w:lang w:val="es-MX" w:eastAsia="es-MX"/>
              </w:rPr>
            </w:pPr>
            <w:r w:rsidRPr="005F6A99">
              <w:rPr>
                <w:rFonts w:ascii="Arial" w:eastAsia="Times New Roman" w:hAnsi="Arial" w:cs="Arial"/>
                <w:color w:val="000000"/>
                <w:sz w:val="20"/>
                <w:szCs w:val="20"/>
                <w:lang w:val="es-MX" w:eastAsia="es-MX"/>
              </w:rPr>
              <w:t>200,223</w:t>
            </w:r>
          </w:p>
        </w:tc>
      </w:tr>
      <w:tr w:rsidR="00623CDF" w:rsidRPr="005F6A99" w14:paraId="5ABE3A58" w14:textId="77777777" w:rsidTr="0001665D">
        <w:trPr>
          <w:trHeight w:val="255"/>
          <w:jc w:val="center"/>
        </w:trPr>
        <w:tc>
          <w:tcPr>
            <w:tcW w:w="5921" w:type="dxa"/>
            <w:tcBorders>
              <w:top w:val="single" w:sz="4" w:space="0" w:color="000000"/>
              <w:left w:val="single" w:sz="4" w:space="0" w:color="000000"/>
              <w:bottom w:val="single" w:sz="4" w:space="0" w:color="000000"/>
              <w:right w:val="nil"/>
            </w:tcBorders>
            <w:shd w:val="clear" w:color="D9D9D9" w:fill="D9D9D9"/>
            <w:noWrap/>
            <w:vAlign w:val="bottom"/>
            <w:hideMark/>
          </w:tcPr>
          <w:p w14:paraId="01626C79" w14:textId="77777777" w:rsidR="00623CDF" w:rsidRPr="005F6A99" w:rsidRDefault="00623CDF" w:rsidP="00623CDF">
            <w:pPr>
              <w:spacing w:before="0" w:after="0" w:line="240" w:lineRule="auto"/>
              <w:jc w:val="left"/>
              <w:rPr>
                <w:rFonts w:ascii="Arial" w:eastAsia="Times New Roman" w:hAnsi="Arial" w:cs="Arial"/>
                <w:b/>
                <w:bCs/>
                <w:color w:val="000000"/>
                <w:sz w:val="20"/>
                <w:szCs w:val="20"/>
                <w:lang w:val="es-MX" w:eastAsia="es-MX"/>
              </w:rPr>
            </w:pPr>
            <w:r w:rsidRPr="005F6A99">
              <w:rPr>
                <w:rFonts w:ascii="Arial" w:eastAsia="Times New Roman" w:hAnsi="Arial" w:cs="Arial"/>
                <w:b/>
                <w:bCs/>
                <w:color w:val="000000"/>
                <w:sz w:val="20"/>
                <w:szCs w:val="20"/>
                <w:lang w:val="es-MX" w:eastAsia="es-MX"/>
              </w:rPr>
              <w:t>TOTAL</w:t>
            </w:r>
          </w:p>
        </w:tc>
        <w:tc>
          <w:tcPr>
            <w:tcW w:w="1200" w:type="dxa"/>
            <w:tcBorders>
              <w:top w:val="single" w:sz="4" w:space="0" w:color="000000"/>
              <w:left w:val="nil"/>
              <w:bottom w:val="single" w:sz="4" w:space="0" w:color="000000"/>
              <w:right w:val="single" w:sz="4" w:space="0" w:color="000000"/>
            </w:tcBorders>
            <w:shd w:val="clear" w:color="D9D9D9" w:fill="D9D9D9"/>
            <w:noWrap/>
            <w:vAlign w:val="bottom"/>
            <w:hideMark/>
          </w:tcPr>
          <w:p w14:paraId="37E802BF" w14:textId="77777777" w:rsidR="00623CDF" w:rsidRPr="005F6A99" w:rsidRDefault="00623CDF" w:rsidP="00623CDF">
            <w:pPr>
              <w:spacing w:before="0" w:after="0" w:line="240" w:lineRule="auto"/>
              <w:jc w:val="right"/>
              <w:rPr>
                <w:rFonts w:ascii="Arial" w:eastAsia="Times New Roman" w:hAnsi="Arial" w:cs="Arial"/>
                <w:b/>
                <w:bCs/>
                <w:color w:val="000000"/>
                <w:sz w:val="20"/>
                <w:szCs w:val="20"/>
                <w:lang w:val="es-MX" w:eastAsia="es-MX"/>
              </w:rPr>
            </w:pPr>
            <w:r w:rsidRPr="005F6A99">
              <w:rPr>
                <w:rFonts w:ascii="Arial" w:eastAsia="Times New Roman" w:hAnsi="Arial" w:cs="Arial"/>
                <w:b/>
                <w:bCs/>
                <w:color w:val="000000"/>
                <w:sz w:val="20"/>
                <w:szCs w:val="20"/>
                <w:lang w:val="es-MX" w:eastAsia="es-MX"/>
              </w:rPr>
              <w:t>578,456</w:t>
            </w:r>
          </w:p>
        </w:tc>
      </w:tr>
    </w:tbl>
    <w:p w14:paraId="66F8F11C" w14:textId="77777777" w:rsidR="00623CDF" w:rsidRPr="005F6A99" w:rsidRDefault="00623CDF" w:rsidP="00A71085">
      <w:pPr>
        <w:rPr>
          <w:sz w:val="22"/>
          <w:szCs w:val="22"/>
          <w:lang w:val="es-MX"/>
        </w:rPr>
      </w:pPr>
    </w:p>
    <w:p w14:paraId="429A2980" w14:textId="4D8DFEE3" w:rsidR="001F3AA2" w:rsidRPr="005F6A99" w:rsidRDefault="001F3AA2" w:rsidP="00B82D70">
      <w:pPr>
        <w:spacing w:before="0" w:after="0"/>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INVERSIONES FINANCIERAS</w:t>
      </w:r>
    </w:p>
    <w:p w14:paraId="7886184E" w14:textId="77777777" w:rsidR="00266E75" w:rsidRPr="005F6A99" w:rsidRDefault="00266E75" w:rsidP="0029041D">
      <w:pPr>
        <w:widowControl w:val="0"/>
        <w:kinsoku w:val="0"/>
        <w:spacing w:before="0" w:after="0"/>
        <w:contextualSpacing/>
        <w:rPr>
          <w:rFonts w:eastAsia="Times New Roman" w:cs="Times New Roman"/>
          <w:color w:val="000000"/>
          <w:sz w:val="22"/>
          <w:szCs w:val="22"/>
          <w:lang w:eastAsia="es-MX"/>
        </w:rPr>
      </w:pPr>
    </w:p>
    <w:p w14:paraId="05417B27" w14:textId="6297E702" w:rsidR="0029041D" w:rsidRPr="005F6A99" w:rsidRDefault="0029041D" w:rsidP="0029041D">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El saldo al 30 de septiembre de 2022 del activo no circulante, asciende a la cantidad de 51 mil 142 millones 119 mil 782 pesos y se integra de la siguiente manera:</w:t>
      </w:r>
    </w:p>
    <w:p w14:paraId="5BD702EB" w14:textId="77777777" w:rsidR="00266E75" w:rsidRPr="005F6A99" w:rsidRDefault="00266E75" w:rsidP="0029041D">
      <w:pPr>
        <w:widowControl w:val="0"/>
        <w:kinsoku w:val="0"/>
        <w:spacing w:before="0" w:after="0"/>
        <w:contextualSpacing/>
        <w:rPr>
          <w:rFonts w:eastAsia="Times New Roman" w:cs="Times New Roman"/>
          <w:color w:val="000000"/>
          <w:sz w:val="22"/>
          <w:szCs w:val="22"/>
          <w:lang w:eastAsia="es-MX"/>
        </w:rPr>
      </w:pPr>
    </w:p>
    <w:p w14:paraId="3C1E4B5A" w14:textId="77777777" w:rsidR="0029041D" w:rsidRPr="005F6A99" w:rsidRDefault="0029041D" w:rsidP="0029041D">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r w:rsidRPr="005F6A99">
        <w:rPr>
          <w:noProof/>
          <w:lang w:val="es-MX" w:eastAsia="es-MX"/>
        </w:rPr>
        <w:drawing>
          <wp:inline distT="0" distB="0" distL="0" distR="0" wp14:anchorId="713DA0C5" wp14:editId="644DA70A">
            <wp:extent cx="6351270" cy="1459230"/>
            <wp:effectExtent l="0" t="0" r="0" b="762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1459230"/>
                    </a:xfrm>
                    <a:prstGeom prst="rect">
                      <a:avLst/>
                    </a:prstGeom>
                    <a:noFill/>
                    <a:ln>
                      <a:noFill/>
                    </a:ln>
                  </pic:spPr>
                </pic:pic>
              </a:graphicData>
            </a:graphic>
          </wp:inline>
        </w:drawing>
      </w:r>
    </w:p>
    <w:p w14:paraId="27009EE2" w14:textId="77777777" w:rsidR="00266E75" w:rsidRPr="005F6A99" w:rsidRDefault="00266E75" w:rsidP="001F3AA2">
      <w:pPr>
        <w:spacing w:before="0" w:after="0"/>
        <w:rPr>
          <w:rFonts w:eastAsia="Times New Roman" w:cs="Times New Roman"/>
          <w:color w:val="000000"/>
          <w:sz w:val="22"/>
          <w:szCs w:val="22"/>
          <w:lang w:eastAsia="es-MX"/>
        </w:rPr>
      </w:pPr>
    </w:p>
    <w:p w14:paraId="7A3281E6" w14:textId="4B5F6DB5" w:rsidR="001F3AA2" w:rsidRPr="005F6A99" w:rsidRDefault="001F3AA2" w:rsidP="001F3AA2">
      <w:pPr>
        <w:spacing w:before="0" w:after="0"/>
        <w:rPr>
          <w:rFonts w:eastAsia="Times New Roman" w:cs="Times New Roman"/>
          <w:b/>
          <w:bCs/>
          <w:color w:val="000000"/>
          <w:sz w:val="22"/>
          <w:szCs w:val="22"/>
          <w:lang w:eastAsia="es-MX"/>
        </w:rPr>
      </w:pPr>
      <w:r w:rsidRPr="005F6A99">
        <w:rPr>
          <w:rFonts w:eastAsia="Times New Roman" w:cs="Times New Roman"/>
          <w:b/>
          <w:bCs/>
          <w:color w:val="000000"/>
          <w:sz w:val="22"/>
          <w:szCs w:val="22"/>
          <w:lang w:eastAsia="es-MX"/>
        </w:rPr>
        <w:t xml:space="preserve">6. </w:t>
      </w:r>
      <w:r w:rsidR="0029041D" w:rsidRPr="005F6A99">
        <w:rPr>
          <w:rFonts w:eastAsia="Times New Roman" w:cs="Times New Roman"/>
          <w:b/>
          <w:bCs/>
          <w:color w:val="000000"/>
          <w:sz w:val="22"/>
          <w:szCs w:val="22"/>
          <w:lang w:eastAsia="es-MX"/>
        </w:rPr>
        <w:t xml:space="preserve">INVERSIONES FINANCIERAS, </w:t>
      </w:r>
      <w:r w:rsidRPr="005F6A99">
        <w:rPr>
          <w:rFonts w:eastAsia="Times New Roman" w:cs="Times New Roman"/>
          <w:b/>
          <w:bCs/>
          <w:color w:val="000000"/>
          <w:sz w:val="22"/>
          <w:szCs w:val="22"/>
          <w:lang w:eastAsia="es-MX"/>
        </w:rPr>
        <w:t>FIDEICOMISOS, MANDATOS Y ANÁLOGOS</w:t>
      </w:r>
    </w:p>
    <w:p w14:paraId="21A5AD7F" w14:textId="66AA2172" w:rsidR="001F3AA2" w:rsidRPr="005F6A99" w:rsidRDefault="001F3AA2" w:rsidP="00464F99">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De dichos montos, las inversiones Financieras a largo plazo se integran por 29 mil 414 millones 575 mil 44 pesos que se muestran como sigue: </w:t>
      </w:r>
    </w:p>
    <w:p w14:paraId="51D2E17F" w14:textId="22219AB5" w:rsidR="001F3AA2" w:rsidRPr="005F6A99" w:rsidRDefault="001F3AA2" w:rsidP="00464F99">
      <w:pPr>
        <w:widowControl w:val="0"/>
        <w:kinsoku w:val="0"/>
        <w:spacing w:before="0" w:after="0"/>
        <w:contextualSpacing/>
        <w:rPr>
          <w:rFonts w:eastAsia="Times New Roman" w:cs="Times New Roman"/>
          <w:color w:val="000000"/>
          <w:sz w:val="22"/>
          <w:szCs w:val="22"/>
          <w:lang w:eastAsia="es-MX"/>
        </w:rPr>
      </w:pPr>
    </w:p>
    <w:p w14:paraId="7E38D5DC" w14:textId="75893274" w:rsidR="001F3AA2" w:rsidRPr="005F6A99" w:rsidRDefault="001F3AA2" w:rsidP="00464F99">
      <w:pPr>
        <w:widowControl w:val="0"/>
        <w:kinsoku w:val="0"/>
        <w:spacing w:before="0" w:after="0"/>
        <w:contextualSpacing/>
        <w:rPr>
          <w:rFonts w:eastAsia="Times New Roman" w:cs="Times New Roman"/>
          <w:color w:val="000000"/>
          <w:sz w:val="22"/>
          <w:szCs w:val="22"/>
          <w:lang w:eastAsia="es-MX"/>
        </w:rPr>
      </w:pPr>
      <w:r w:rsidRPr="005F6A99">
        <w:rPr>
          <w:noProof/>
          <w:lang w:val="es-MX" w:eastAsia="es-MX"/>
        </w:rPr>
        <w:drawing>
          <wp:inline distT="0" distB="0" distL="0" distR="0" wp14:anchorId="4B95FBFA" wp14:editId="2B1E2C7E">
            <wp:extent cx="6351270" cy="65278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44E85F11" w14:textId="78E1764F" w:rsidR="001F3AA2" w:rsidRPr="005F6A99" w:rsidRDefault="001F3AA2" w:rsidP="001F3AA2">
      <w:pPr>
        <w:spacing w:before="0" w:after="0"/>
        <w:rPr>
          <w:rFonts w:eastAsia="Times New Roman" w:cs="Times New Roman"/>
          <w:color w:val="000000"/>
          <w:sz w:val="22"/>
          <w:szCs w:val="22"/>
          <w:lang w:eastAsia="es-MX"/>
        </w:rPr>
      </w:pPr>
      <w:r w:rsidRPr="005F6A99">
        <w:rPr>
          <w:rFonts w:eastAsia="Times New Roman" w:cs="Times New Roman"/>
          <w:color w:val="000000"/>
          <w:sz w:val="22"/>
          <w:szCs w:val="22"/>
          <w:lang w:eastAsia="es-MX"/>
        </w:rPr>
        <w:t>En el mismo sentido, se cuenta con inversiones a largo plazo en fideicomisos financieros que incluyen las inversiones en estos para garantizar el pago de la deuda y los servicios de la misma, así como fideicomisos no financieros.</w:t>
      </w:r>
    </w:p>
    <w:p w14:paraId="5A707A72" w14:textId="77777777" w:rsidR="001F3AA2" w:rsidRPr="005F6A99" w:rsidRDefault="001F3AA2" w:rsidP="001F3AA2">
      <w:pPr>
        <w:spacing w:before="0" w:after="0"/>
        <w:rPr>
          <w:rFonts w:eastAsia="Times New Roman" w:cs="Times New Roman"/>
          <w:color w:val="000000"/>
          <w:sz w:val="22"/>
          <w:szCs w:val="22"/>
          <w:lang w:eastAsia="es-MX"/>
        </w:rPr>
      </w:pPr>
    </w:p>
    <w:p w14:paraId="4259CA50" w14:textId="607BC200" w:rsidR="001F3AA2" w:rsidRPr="005F6A99" w:rsidRDefault="001F3AA2" w:rsidP="001F3AA2">
      <w:pPr>
        <w:spacing w:before="0" w:after="0"/>
        <w:rPr>
          <w:rFonts w:eastAsia="Times New Roman" w:cs="Times New Roman"/>
          <w:color w:val="000000"/>
          <w:sz w:val="22"/>
          <w:szCs w:val="22"/>
          <w:lang w:eastAsia="es-MX"/>
        </w:rPr>
      </w:pPr>
      <w:r w:rsidRPr="005F6A99">
        <w:rPr>
          <w:rFonts w:eastAsia="Times New Roman" w:cs="Times New Roman"/>
          <w:color w:val="000000"/>
          <w:sz w:val="22"/>
          <w:szCs w:val="22"/>
          <w:lang w:eastAsia="es-MX"/>
        </w:rPr>
        <w:t>Los fideicomisos financieros son:</w:t>
      </w:r>
    </w:p>
    <w:p w14:paraId="09B323ED" w14:textId="39F6BB8E" w:rsidR="001F3AA2" w:rsidRPr="005F6A99" w:rsidRDefault="00D50A8C" w:rsidP="001F3AA2">
      <w:pPr>
        <w:spacing w:before="0" w:after="0"/>
        <w:jc w:val="center"/>
        <w:rPr>
          <w:rFonts w:eastAsia="Times New Roman" w:cs="Times New Roman"/>
          <w:color w:val="000000"/>
          <w:sz w:val="22"/>
          <w:szCs w:val="22"/>
          <w:lang w:eastAsia="es-MX"/>
        </w:rPr>
      </w:pPr>
      <w:r w:rsidRPr="005F6A99">
        <w:rPr>
          <w:noProof/>
          <w:lang w:val="es-MX" w:eastAsia="es-MX"/>
        </w:rPr>
        <w:drawing>
          <wp:inline distT="0" distB="0" distL="0" distR="0" wp14:anchorId="310D6457" wp14:editId="61454862">
            <wp:extent cx="4916805" cy="983615"/>
            <wp:effectExtent l="0" t="0" r="0" b="698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6805" cy="983615"/>
                    </a:xfrm>
                    <a:prstGeom prst="rect">
                      <a:avLst/>
                    </a:prstGeom>
                    <a:noFill/>
                    <a:ln>
                      <a:noFill/>
                    </a:ln>
                  </pic:spPr>
                </pic:pic>
              </a:graphicData>
            </a:graphic>
          </wp:inline>
        </w:drawing>
      </w:r>
    </w:p>
    <w:p w14:paraId="3875EBCD" w14:textId="712CAA8D" w:rsidR="001F3AA2" w:rsidRPr="005F6A99" w:rsidRDefault="001F3AA2" w:rsidP="001F3AA2">
      <w:pPr>
        <w:spacing w:before="0" w:after="0"/>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Y los fideicomisos no financieros se integran de la siguiente manera:</w:t>
      </w:r>
    </w:p>
    <w:p w14:paraId="583D9FBD" w14:textId="685A8122" w:rsidR="00464F99" w:rsidRPr="005F6A99" w:rsidRDefault="00D50A8C" w:rsidP="00C86007">
      <w:pPr>
        <w:spacing w:before="0" w:after="0"/>
        <w:jc w:val="center"/>
        <w:rPr>
          <w:rFonts w:eastAsia="Times New Roman" w:cs="Times New Roman"/>
          <w:bCs/>
          <w:color w:val="000000"/>
          <w:sz w:val="22"/>
          <w:szCs w:val="22"/>
          <w:lang w:eastAsia="es-MX"/>
        </w:rPr>
      </w:pPr>
      <w:r w:rsidRPr="005F6A99">
        <w:rPr>
          <w:bCs/>
          <w:noProof/>
          <w:lang w:val="es-MX" w:eastAsia="es-MX"/>
        </w:rPr>
        <w:lastRenderedPageBreak/>
        <w:drawing>
          <wp:inline distT="0" distB="0" distL="0" distR="0" wp14:anchorId="0397F20C" wp14:editId="77180718">
            <wp:extent cx="5365630" cy="6296660"/>
            <wp:effectExtent l="0" t="0" r="6985" b="889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710" cy="6307315"/>
                    </a:xfrm>
                    <a:prstGeom prst="rect">
                      <a:avLst/>
                    </a:prstGeom>
                    <a:noFill/>
                    <a:ln>
                      <a:noFill/>
                    </a:ln>
                  </pic:spPr>
                </pic:pic>
              </a:graphicData>
            </a:graphic>
          </wp:inline>
        </w:drawing>
      </w:r>
    </w:p>
    <w:p w14:paraId="7318E9DD" w14:textId="7242D287" w:rsidR="00207781" w:rsidRPr="005F6A99" w:rsidRDefault="00207781" w:rsidP="00207781">
      <w:pPr>
        <w:spacing w:before="0" w:after="0"/>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2 mil 702 millones 72 mil 561 pesos, correspondientes a la actualización de los saldos en los estados de cuenta, en los casos de fideicomisos financieros </w:t>
      </w:r>
      <w:r w:rsidRPr="005F6A99">
        <w:rPr>
          <w:rFonts w:eastAsia="Times New Roman" w:cs="Times New Roman"/>
          <w:bCs/>
          <w:color w:val="000000"/>
          <w:sz w:val="22"/>
          <w:szCs w:val="22"/>
          <w:lang w:eastAsia="es-MX"/>
        </w:rPr>
        <w:lastRenderedPageBreak/>
        <w:t>y en los Estados de Situación Financiera, correspondientes a la Hacienda Pública/Patrimonio en los casos de los fideicomisos no financieros, lo que representa un 29.17% de variación total, respecto del saldo al 31 de diciembre de 2021.</w:t>
      </w:r>
    </w:p>
    <w:p w14:paraId="1C4F0647" w14:textId="77777777" w:rsidR="00207781" w:rsidRPr="005F6A99" w:rsidRDefault="00207781" w:rsidP="00207781">
      <w:pPr>
        <w:spacing w:before="0" w:after="0"/>
        <w:rPr>
          <w:rFonts w:eastAsia="Times New Roman" w:cs="Times New Roman"/>
          <w:b/>
          <w:color w:val="000000"/>
          <w:sz w:val="22"/>
          <w:szCs w:val="22"/>
          <w:lang w:eastAsia="es-MX"/>
        </w:rPr>
      </w:pPr>
    </w:p>
    <w:p w14:paraId="4071F319" w14:textId="6E17AF52" w:rsidR="00C86007" w:rsidRPr="005F6A99" w:rsidRDefault="00C86007" w:rsidP="00B82D70">
      <w:pPr>
        <w:spacing w:before="120" w:after="120"/>
        <w:rPr>
          <w:rFonts w:eastAsia="Calibri" w:cs="Times New Roman"/>
          <w:b/>
          <w:sz w:val="22"/>
          <w:szCs w:val="22"/>
        </w:rPr>
      </w:pPr>
      <w:r w:rsidRPr="005F6A99">
        <w:rPr>
          <w:rFonts w:eastAsia="Calibri" w:cs="Times New Roman"/>
          <w:b/>
          <w:sz w:val="22"/>
          <w:szCs w:val="22"/>
        </w:rPr>
        <w:t>7. Saldos de las participaciones y aportaciones de capital</w:t>
      </w:r>
    </w:p>
    <w:p w14:paraId="5DEC6677" w14:textId="77777777" w:rsidR="00207781" w:rsidRPr="005F6A99" w:rsidRDefault="00207781" w:rsidP="00B82D70">
      <w:pPr>
        <w:spacing w:before="120" w:after="120"/>
        <w:rPr>
          <w:rFonts w:eastAsia="Calibri" w:cs="Times New Roman"/>
          <w:bCs/>
          <w:sz w:val="22"/>
          <w:szCs w:val="22"/>
        </w:rPr>
      </w:pPr>
    </w:p>
    <w:p w14:paraId="0E998B45" w14:textId="01420CA9" w:rsidR="00B82D70" w:rsidRPr="005F6A99" w:rsidRDefault="00B82D70" w:rsidP="00B82D70">
      <w:pPr>
        <w:spacing w:before="120" w:after="120"/>
        <w:rPr>
          <w:rFonts w:eastAsia="Calibri" w:cs="Times New Roman"/>
          <w:bCs/>
          <w:sz w:val="22"/>
          <w:szCs w:val="22"/>
        </w:rPr>
      </w:pPr>
      <w:r w:rsidRPr="005F6A99">
        <w:rPr>
          <w:rFonts w:eastAsia="Calibri" w:cs="Times New Roman"/>
          <w:bCs/>
          <w:sz w:val="22"/>
          <w:szCs w:val="22"/>
        </w:rPr>
        <w:t>Se informa la integración del saldo al 3</w:t>
      </w:r>
      <w:r w:rsidR="00BD1AE8" w:rsidRPr="005F6A99">
        <w:rPr>
          <w:rFonts w:eastAsia="Calibri" w:cs="Times New Roman"/>
          <w:bCs/>
          <w:sz w:val="22"/>
          <w:szCs w:val="22"/>
        </w:rPr>
        <w:t>0</w:t>
      </w:r>
      <w:r w:rsidRPr="005F6A99">
        <w:rPr>
          <w:rFonts w:eastAsia="Calibri" w:cs="Times New Roman"/>
          <w:bCs/>
          <w:sz w:val="22"/>
          <w:szCs w:val="22"/>
        </w:rPr>
        <w:t xml:space="preserve"> d</w:t>
      </w:r>
      <w:r w:rsidR="005603C5" w:rsidRPr="005F6A99">
        <w:rPr>
          <w:rFonts w:eastAsia="Calibri" w:cs="Times New Roman"/>
          <w:bCs/>
          <w:sz w:val="22"/>
          <w:szCs w:val="22"/>
        </w:rPr>
        <w:t xml:space="preserve">e </w:t>
      </w:r>
      <w:r w:rsidR="00C86007" w:rsidRPr="005F6A99">
        <w:rPr>
          <w:rFonts w:eastAsia="Calibri" w:cs="Times New Roman"/>
          <w:bCs/>
          <w:sz w:val="22"/>
          <w:szCs w:val="22"/>
        </w:rPr>
        <w:t>septiembre</w:t>
      </w:r>
      <w:r w:rsidR="005603C5" w:rsidRPr="005F6A99">
        <w:rPr>
          <w:rFonts w:eastAsia="Calibri" w:cs="Times New Roman"/>
          <w:bCs/>
          <w:sz w:val="22"/>
          <w:szCs w:val="22"/>
        </w:rPr>
        <w:t xml:space="preserve"> </w:t>
      </w:r>
      <w:r w:rsidRPr="005F6A99">
        <w:rPr>
          <w:rFonts w:eastAsia="Calibri" w:cs="Times New Roman"/>
          <w:bCs/>
          <w:sz w:val="22"/>
          <w:szCs w:val="22"/>
        </w:rPr>
        <w:t>de 202</w:t>
      </w:r>
      <w:r w:rsidR="00311639" w:rsidRPr="005F6A99">
        <w:rPr>
          <w:rFonts w:eastAsia="Calibri" w:cs="Times New Roman"/>
          <w:bCs/>
          <w:sz w:val="22"/>
          <w:szCs w:val="22"/>
        </w:rPr>
        <w:t>2</w:t>
      </w:r>
      <w:r w:rsidRPr="005F6A99">
        <w:rPr>
          <w:rFonts w:eastAsia="Calibri" w:cs="Times New Roman"/>
          <w:bCs/>
          <w:sz w:val="22"/>
          <w:szCs w:val="22"/>
        </w:rPr>
        <w:t xml:space="preserve"> de la cuenta de Participaciones y Aportaciones de Capital</w:t>
      </w:r>
      <w:r w:rsidR="00C86007" w:rsidRPr="005F6A99">
        <w:rPr>
          <w:rFonts w:eastAsia="Calibri" w:cs="Times New Roman"/>
          <w:bCs/>
          <w:sz w:val="22"/>
          <w:szCs w:val="22"/>
        </w:rPr>
        <w:t>, por 20 mil 150 millones 296 mil 916 pesos</w:t>
      </w:r>
      <w:r w:rsidR="00207781" w:rsidRPr="005F6A99">
        <w:rPr>
          <w:rFonts w:eastAsia="Calibri" w:cs="Times New Roman"/>
          <w:bCs/>
          <w:sz w:val="22"/>
          <w:szCs w:val="22"/>
        </w:rPr>
        <w:t>.</w:t>
      </w:r>
      <w:r w:rsidRPr="005F6A99">
        <w:rPr>
          <w:rFonts w:eastAsia="Calibri" w:cs="Times New Roman"/>
          <w:bCs/>
          <w:sz w:val="22"/>
          <w:szCs w:val="22"/>
        </w:rPr>
        <w:t xml:space="preserve"> </w:t>
      </w:r>
    </w:p>
    <w:p w14:paraId="0FE5E2FF" w14:textId="77777777" w:rsidR="00207781" w:rsidRPr="005F6A99" w:rsidRDefault="00207781" w:rsidP="00207781">
      <w:pPr>
        <w:spacing w:before="0" w:after="0"/>
        <w:rPr>
          <w:rFonts w:eastAsia="Times New Roman" w:cs="Times New Roman"/>
          <w:b/>
          <w:color w:val="000000"/>
          <w:sz w:val="22"/>
          <w:szCs w:val="22"/>
          <w:lang w:eastAsia="es-MX"/>
        </w:rPr>
      </w:pPr>
    </w:p>
    <w:p w14:paraId="00CBF263" w14:textId="026C4D80" w:rsidR="00207781" w:rsidRPr="005F6A99" w:rsidRDefault="00207781" w:rsidP="00207781">
      <w:pPr>
        <w:spacing w:before="0" w:after="0"/>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2 mil 37 millones 588 mil 806 pesos, correspondientes a la actualización de los saldos en los estados de cuenta, de Hacienda Pública/Patrimonio de los Estados de Situación Financiera en las diferentes paraestatales, lo que representa un 10.11% de variación total, respecto del saldo al 31 de diciembre de 2021.</w:t>
      </w:r>
    </w:p>
    <w:p w14:paraId="1F3D016C" w14:textId="77777777" w:rsidR="00207781" w:rsidRPr="005F6A99" w:rsidRDefault="00207781" w:rsidP="00207781">
      <w:pPr>
        <w:spacing w:before="0" w:after="0"/>
        <w:rPr>
          <w:rFonts w:eastAsia="Times New Roman" w:cs="Times New Roman"/>
          <w:bCs/>
          <w:color w:val="000000"/>
          <w:sz w:val="22"/>
          <w:szCs w:val="22"/>
          <w:lang w:eastAsia="es-MX"/>
        </w:rPr>
      </w:pPr>
    </w:p>
    <w:p w14:paraId="7ADC1A59" w14:textId="711A7665" w:rsidR="00207781" w:rsidRPr="005F6A99" w:rsidRDefault="00207781" w:rsidP="00207781">
      <w:pPr>
        <w:spacing w:before="0" w:after="0"/>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Las aportaciones en las entidades paraestatales se integran como sigue:</w:t>
      </w:r>
    </w:p>
    <w:p w14:paraId="2F202F86" w14:textId="77777777" w:rsidR="00207781" w:rsidRPr="005F6A99" w:rsidRDefault="00207781" w:rsidP="00B82D70">
      <w:pPr>
        <w:spacing w:before="120" w:after="120"/>
        <w:rPr>
          <w:rFonts w:eastAsia="Calibri" w:cs="Times New Roman"/>
          <w:bCs/>
          <w:sz w:val="22"/>
          <w:szCs w:val="22"/>
        </w:rPr>
      </w:pPr>
    </w:p>
    <w:p w14:paraId="63212293" w14:textId="1AEDA121" w:rsidR="00B82D70" w:rsidRPr="005F6A99" w:rsidRDefault="00C86007" w:rsidP="00464F99">
      <w:pPr>
        <w:spacing w:before="120" w:after="120"/>
        <w:rPr>
          <w:rFonts w:eastAsia="Calibri" w:cs="Times New Roman"/>
          <w:bCs/>
          <w:sz w:val="22"/>
          <w:szCs w:val="22"/>
        </w:rPr>
      </w:pPr>
      <w:r w:rsidRPr="005F6A99">
        <w:rPr>
          <w:noProof/>
          <w:lang w:val="es-MX" w:eastAsia="es-MX"/>
        </w:rPr>
        <w:lastRenderedPageBreak/>
        <w:drawing>
          <wp:inline distT="0" distB="0" distL="0" distR="0" wp14:anchorId="137699E4" wp14:editId="50310A6A">
            <wp:extent cx="5952045" cy="6625086"/>
            <wp:effectExtent l="0" t="0" r="0" b="444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8125" cy="6654115"/>
                    </a:xfrm>
                    <a:prstGeom prst="rect">
                      <a:avLst/>
                    </a:prstGeom>
                    <a:noFill/>
                    <a:ln>
                      <a:noFill/>
                    </a:ln>
                  </pic:spPr>
                </pic:pic>
              </a:graphicData>
            </a:graphic>
          </wp:inline>
        </w:drawing>
      </w:r>
    </w:p>
    <w:p w14:paraId="6A9CF8A9" w14:textId="77777777" w:rsidR="00E7156D" w:rsidRPr="005F6A99" w:rsidRDefault="00E7156D" w:rsidP="00B82D70">
      <w:pPr>
        <w:spacing w:before="0" w:after="0"/>
        <w:rPr>
          <w:rFonts w:eastAsia="Calibri" w:cs="Times New Roman"/>
          <w:b/>
          <w:sz w:val="22"/>
          <w:szCs w:val="22"/>
        </w:rPr>
      </w:pPr>
    </w:p>
    <w:p w14:paraId="471AB0E0" w14:textId="77777777" w:rsidR="00E7156D" w:rsidRPr="005F6A99" w:rsidRDefault="00E7156D" w:rsidP="00B82D70">
      <w:pPr>
        <w:spacing w:before="0" w:after="0"/>
        <w:rPr>
          <w:rFonts w:eastAsia="Calibri" w:cs="Times New Roman"/>
          <w:b/>
          <w:sz w:val="22"/>
          <w:szCs w:val="22"/>
        </w:rPr>
      </w:pPr>
    </w:p>
    <w:p w14:paraId="3958C064" w14:textId="77777777" w:rsidR="00E7156D" w:rsidRPr="005F6A99" w:rsidRDefault="00E7156D" w:rsidP="00B82D70">
      <w:pPr>
        <w:spacing w:before="0" w:after="0"/>
        <w:rPr>
          <w:rFonts w:eastAsia="Calibri" w:cs="Times New Roman"/>
          <w:b/>
          <w:sz w:val="22"/>
          <w:szCs w:val="22"/>
        </w:rPr>
      </w:pPr>
    </w:p>
    <w:p w14:paraId="61884B1F" w14:textId="77777777" w:rsidR="00E7156D" w:rsidRPr="005F6A99" w:rsidRDefault="00E7156D" w:rsidP="00B82D70">
      <w:pPr>
        <w:spacing w:before="0" w:after="0"/>
        <w:rPr>
          <w:rFonts w:eastAsia="Calibri" w:cs="Times New Roman"/>
          <w:b/>
          <w:sz w:val="22"/>
          <w:szCs w:val="22"/>
        </w:rPr>
      </w:pPr>
    </w:p>
    <w:p w14:paraId="5F4F4BD9" w14:textId="1CD9907A" w:rsidR="0029041D" w:rsidRPr="005F6A99" w:rsidRDefault="0029041D" w:rsidP="00B82D70">
      <w:pPr>
        <w:spacing w:before="0" w:after="0"/>
        <w:rPr>
          <w:rFonts w:eastAsia="Calibri" w:cs="Times New Roman"/>
          <w:b/>
          <w:sz w:val="22"/>
          <w:szCs w:val="22"/>
        </w:rPr>
      </w:pPr>
      <w:r w:rsidRPr="005F6A99">
        <w:rPr>
          <w:rFonts w:eastAsia="Calibri" w:cs="Times New Roman"/>
          <w:b/>
          <w:sz w:val="22"/>
          <w:szCs w:val="22"/>
        </w:rPr>
        <w:lastRenderedPageBreak/>
        <w:t>BIENES MUEBLES, INMUEBLES E INTAGIBLES</w:t>
      </w:r>
    </w:p>
    <w:p w14:paraId="56AC8ADD" w14:textId="383D7DB3" w:rsidR="00B82D70" w:rsidRPr="005F6A99" w:rsidRDefault="0029041D" w:rsidP="00B82D70">
      <w:pPr>
        <w:spacing w:before="0" w:after="0"/>
        <w:rPr>
          <w:rFonts w:ascii="Arial" w:eastAsia="Times New Roman" w:hAnsi="Arial" w:cs="Arial"/>
          <w:b/>
          <w:bCs/>
          <w:color w:val="000000"/>
          <w:sz w:val="22"/>
          <w:szCs w:val="22"/>
          <w:lang w:eastAsia="es-MX"/>
        </w:rPr>
      </w:pPr>
      <w:r w:rsidRPr="005F6A99">
        <w:rPr>
          <w:rFonts w:eastAsia="Calibri" w:cs="Times New Roman"/>
          <w:b/>
          <w:sz w:val="22"/>
          <w:szCs w:val="22"/>
        </w:rPr>
        <w:t>8.- Bienes muebles e inmuebles</w:t>
      </w:r>
      <w:r w:rsidR="00B82D70" w:rsidRPr="005F6A99">
        <w:rPr>
          <w:rFonts w:ascii="Arial" w:hAnsi="Arial" w:cs="Arial"/>
          <w:b/>
          <w:color w:val="000000"/>
          <w:sz w:val="22"/>
          <w:szCs w:val="22"/>
        </w:rPr>
        <w:t xml:space="preserve"> </w:t>
      </w:r>
      <w:r w:rsidR="00B82D70" w:rsidRPr="005F6A99">
        <w:rPr>
          <w:rFonts w:ascii="Arial" w:eastAsia="Times New Roman" w:hAnsi="Arial" w:cs="Arial"/>
          <w:b/>
          <w:bCs/>
          <w:color w:val="000000"/>
          <w:sz w:val="22"/>
          <w:szCs w:val="22"/>
          <w:lang w:eastAsia="es-MX"/>
        </w:rPr>
        <w:t xml:space="preserve">  </w:t>
      </w:r>
    </w:p>
    <w:p w14:paraId="345817BA" w14:textId="77777777" w:rsidR="00B82D70" w:rsidRPr="005F6A99" w:rsidRDefault="00B82D70" w:rsidP="00B82D70">
      <w:pPr>
        <w:spacing w:before="0" w:after="0"/>
        <w:rPr>
          <w:rFonts w:eastAsia="Calibri" w:cs="Times New Roman"/>
          <w:sz w:val="22"/>
          <w:szCs w:val="22"/>
        </w:rPr>
      </w:pPr>
    </w:p>
    <w:p w14:paraId="32931370" w14:textId="5855F2E3" w:rsidR="00B82D70" w:rsidRPr="005F6A99" w:rsidRDefault="00B82D70" w:rsidP="00B82D70">
      <w:pPr>
        <w:spacing w:before="0" w:after="0"/>
        <w:rPr>
          <w:rFonts w:eastAsia="Calibri" w:cs="Times New Roman"/>
          <w:sz w:val="22"/>
          <w:szCs w:val="22"/>
        </w:rPr>
      </w:pPr>
      <w:r w:rsidRPr="005F6A99">
        <w:rPr>
          <w:rFonts w:eastAsia="Calibri" w:cs="Times New Roman"/>
          <w:sz w:val="22"/>
          <w:szCs w:val="22"/>
        </w:rPr>
        <w:t>De conformidad con lo dispuesto en los acuerdos donde se establecen las “Principales Reglas de Registro y Valoración del Patrimonio”, publicado en el Diario Oficial de la Federación del 08 de agosto de 2013 y los “Lineamientos dirigidos a asegurar que el Sistema de Contabilidad Gubernamental facilite el Registro y Control de los Inventarios de Bienes Muebles e Inmuebles de los Entes Públicos” publicado en el Diario Oficial de la Federación del 13 de diciembre de 2011, las cifras que se presentan y que ascienden a un importe de 1</w:t>
      </w:r>
      <w:r w:rsidR="00DB735C" w:rsidRPr="005F6A99">
        <w:rPr>
          <w:rFonts w:eastAsia="Calibri" w:cs="Times New Roman"/>
          <w:sz w:val="22"/>
          <w:szCs w:val="22"/>
        </w:rPr>
        <w:t>9</w:t>
      </w:r>
      <w:r w:rsidRPr="005F6A99">
        <w:rPr>
          <w:rFonts w:eastAsia="Calibri" w:cs="Times New Roman"/>
          <w:sz w:val="22"/>
          <w:szCs w:val="22"/>
        </w:rPr>
        <w:t xml:space="preserve"> mil </w:t>
      </w:r>
      <w:r w:rsidR="0029041D" w:rsidRPr="005F6A99">
        <w:rPr>
          <w:rFonts w:eastAsia="Calibri" w:cs="Times New Roman"/>
          <w:sz w:val="22"/>
          <w:szCs w:val="22"/>
        </w:rPr>
        <w:t>241</w:t>
      </w:r>
      <w:r w:rsidRPr="005F6A99">
        <w:rPr>
          <w:rFonts w:eastAsia="Calibri" w:cs="Times New Roman"/>
          <w:sz w:val="22"/>
          <w:szCs w:val="22"/>
        </w:rPr>
        <w:t xml:space="preserve"> millones </w:t>
      </w:r>
      <w:r w:rsidR="0029041D" w:rsidRPr="005F6A99">
        <w:rPr>
          <w:rFonts w:eastAsia="Calibri" w:cs="Times New Roman"/>
          <w:sz w:val="22"/>
          <w:szCs w:val="22"/>
        </w:rPr>
        <w:t>661</w:t>
      </w:r>
      <w:r w:rsidRPr="005F6A99">
        <w:rPr>
          <w:rFonts w:eastAsia="Calibri" w:cs="Times New Roman"/>
          <w:sz w:val="22"/>
          <w:szCs w:val="22"/>
        </w:rPr>
        <w:t xml:space="preserve"> mil </w:t>
      </w:r>
      <w:r w:rsidR="0029041D" w:rsidRPr="005F6A99">
        <w:rPr>
          <w:rFonts w:eastAsia="Calibri" w:cs="Times New Roman"/>
          <w:sz w:val="22"/>
          <w:szCs w:val="22"/>
        </w:rPr>
        <w:t>994</w:t>
      </w:r>
      <w:r w:rsidRPr="005F6A99">
        <w:rPr>
          <w:rFonts w:eastAsia="Calibri" w:cs="Times New Roman"/>
          <w:sz w:val="22"/>
          <w:szCs w:val="22"/>
        </w:rPr>
        <w:t xml:space="preserve"> pesos. </w:t>
      </w:r>
    </w:p>
    <w:p w14:paraId="4F5D737F" w14:textId="59348531" w:rsidR="00B82D70" w:rsidRPr="005F6A99" w:rsidRDefault="00B82D70" w:rsidP="00DB735C">
      <w:pPr>
        <w:widowControl w:val="0"/>
        <w:tabs>
          <w:tab w:val="left" w:pos="426"/>
        </w:tabs>
        <w:kinsoku w:val="0"/>
        <w:spacing w:before="0" w:after="0"/>
        <w:contextualSpacing/>
        <w:jc w:val="center"/>
        <w:rPr>
          <w:rFonts w:eastAsia="Times New Roman" w:cs="Times New Roman"/>
          <w:b/>
          <w:color w:val="000000"/>
          <w:sz w:val="22"/>
          <w:szCs w:val="22"/>
          <w:lang w:eastAsia="es-MX"/>
        </w:rPr>
      </w:pPr>
    </w:p>
    <w:p w14:paraId="4F24B7BC" w14:textId="77777777" w:rsidR="00B82D70" w:rsidRPr="005F6A99" w:rsidRDefault="00B82D70" w:rsidP="00B82D70">
      <w:pPr>
        <w:widowControl w:val="0"/>
        <w:tabs>
          <w:tab w:val="left" w:pos="426"/>
        </w:tabs>
        <w:kinsoku w:val="0"/>
        <w:spacing w:before="0" w:after="0"/>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Bienes Inmuebles:</w:t>
      </w:r>
    </w:p>
    <w:p w14:paraId="4EA99704" w14:textId="77777777" w:rsidR="00B82D70" w:rsidRPr="005F6A99" w:rsidRDefault="00B82D70" w:rsidP="00B82D70">
      <w:pPr>
        <w:widowControl w:val="0"/>
        <w:tabs>
          <w:tab w:val="left" w:pos="426"/>
        </w:tabs>
        <w:kinsoku w:val="0"/>
        <w:spacing w:before="0" w:after="0"/>
        <w:contextualSpacing/>
        <w:rPr>
          <w:rFonts w:eastAsia="Times New Roman" w:cs="Times New Roman"/>
          <w:b/>
          <w:color w:val="000000"/>
          <w:sz w:val="22"/>
          <w:szCs w:val="22"/>
          <w:lang w:eastAsia="es-MX"/>
        </w:rPr>
      </w:pPr>
    </w:p>
    <w:p w14:paraId="5B13479F" w14:textId="77777777" w:rsidR="00B82D70" w:rsidRPr="005F6A99" w:rsidRDefault="00B82D70" w:rsidP="00C04B49">
      <w:pPr>
        <w:pStyle w:val="Prrafodelista"/>
        <w:numPr>
          <w:ilvl w:val="0"/>
          <w:numId w:val="3"/>
        </w:numPr>
        <w:spacing w:line="360" w:lineRule="auto"/>
        <w:jc w:val="both"/>
        <w:rPr>
          <w:rFonts w:ascii="GalanoGrotesque-Light" w:hAnsi="GalanoGrotesque-Light"/>
          <w:sz w:val="22"/>
          <w:szCs w:val="22"/>
          <w:lang w:val="es-MX"/>
        </w:rPr>
      </w:pPr>
      <w:r w:rsidRPr="005F6A99">
        <w:rPr>
          <w:rFonts w:ascii="GalanoGrotesque-Light" w:hAnsi="GalanoGrotesque-Light"/>
          <w:sz w:val="22"/>
          <w:szCs w:val="22"/>
          <w:lang w:val="es-MX"/>
        </w:rPr>
        <w:t>Es la incorporación al patrimonio de la Entidad de los bienes inmuebles, ya sea por adquisiciones o cualquier otro medio de adjudicación, y sus efectos por la desincorporación del patrimonio del Estado de dichos bienes a su valor original, ya sea por su venta, donación o cuando por el deterioro de los mismos se consideran inservibles, entre los que se encuentran terrenos, edificios, reservas territoriales, palcos y plateas de estadios, áreas de donación, etcétera.</w:t>
      </w:r>
    </w:p>
    <w:p w14:paraId="0DAF906E" w14:textId="77777777" w:rsidR="00B82D70" w:rsidRPr="005F6A99" w:rsidRDefault="00B82D70" w:rsidP="00B82D70">
      <w:pPr>
        <w:spacing w:before="0" w:after="0"/>
        <w:rPr>
          <w:rFonts w:eastAsia="Calibri" w:cs="Times New Roman"/>
          <w:b/>
          <w:color w:val="000000"/>
          <w:sz w:val="22"/>
          <w:szCs w:val="22"/>
        </w:rPr>
      </w:pPr>
    </w:p>
    <w:p w14:paraId="2344947E" w14:textId="77777777" w:rsidR="00B82D70" w:rsidRPr="005F6A99" w:rsidRDefault="00B82D70" w:rsidP="00B82D70">
      <w:pPr>
        <w:spacing w:before="0" w:after="0"/>
        <w:rPr>
          <w:rFonts w:eastAsia="Calibri" w:cs="Times New Roman"/>
          <w:sz w:val="22"/>
          <w:szCs w:val="22"/>
        </w:rPr>
      </w:pPr>
      <w:r w:rsidRPr="005F6A99">
        <w:rPr>
          <w:rFonts w:eastAsia="Calibri" w:cs="Times New Roman"/>
          <w:b/>
          <w:color w:val="000000"/>
          <w:sz w:val="22"/>
          <w:szCs w:val="22"/>
        </w:rPr>
        <w:t>Construcciones en proceso:</w:t>
      </w:r>
      <w:r w:rsidRPr="005F6A99">
        <w:rPr>
          <w:rFonts w:eastAsia="Calibri" w:cs="Times New Roman"/>
          <w:sz w:val="22"/>
          <w:szCs w:val="22"/>
        </w:rPr>
        <w:t xml:space="preserve"> </w:t>
      </w:r>
    </w:p>
    <w:p w14:paraId="19017905" w14:textId="77777777" w:rsidR="00B82D70" w:rsidRPr="005F6A99" w:rsidRDefault="00B82D70" w:rsidP="00B82D70">
      <w:pPr>
        <w:spacing w:before="0" w:after="0"/>
        <w:rPr>
          <w:rFonts w:eastAsia="Calibri" w:cs="Times New Roman"/>
          <w:b/>
          <w:color w:val="000000"/>
          <w:sz w:val="22"/>
          <w:szCs w:val="22"/>
        </w:rPr>
      </w:pPr>
    </w:p>
    <w:p w14:paraId="6C4E7FF4" w14:textId="7453C873" w:rsidR="0044578D" w:rsidRPr="005F6A99" w:rsidRDefault="00B82D70" w:rsidP="00102E0B">
      <w:pPr>
        <w:pStyle w:val="Prrafodelista"/>
        <w:numPr>
          <w:ilvl w:val="0"/>
          <w:numId w:val="3"/>
        </w:numPr>
        <w:spacing w:line="360" w:lineRule="auto"/>
        <w:jc w:val="both"/>
        <w:rPr>
          <w:rFonts w:ascii="GalanoGrotesque-Light" w:hAnsi="GalanoGrotesque-Light"/>
          <w:sz w:val="22"/>
          <w:szCs w:val="22"/>
          <w:lang w:val="es-MX"/>
        </w:rPr>
      </w:pPr>
      <w:r w:rsidRPr="005F6A99">
        <w:rPr>
          <w:rFonts w:ascii="GalanoGrotesque-Light" w:hAnsi="GalanoGrotesque-Light"/>
          <w:sz w:val="22"/>
          <w:szCs w:val="22"/>
          <w:lang w:val="es-MX"/>
        </w:rPr>
        <w:t xml:space="preserve">A partir del ejercicio 2015 y de acuerdo con la Ley General de Contabilidad Gubernamental, se inició el registro de las inversiones en construcciones en proceso en sus diferentes modalidades, registros que se continúan realizando </w:t>
      </w:r>
      <w:r w:rsidRPr="005F6A99">
        <w:rPr>
          <w:rFonts w:ascii="GalanoGrotesque-Light" w:hAnsi="GalanoGrotesque-Light"/>
          <w:sz w:val="22"/>
          <w:szCs w:val="22"/>
          <w:lang w:val="es-MX"/>
        </w:rPr>
        <w:lastRenderedPageBreak/>
        <w:t>en el</w:t>
      </w:r>
      <w:r w:rsidR="00311639" w:rsidRPr="005F6A99">
        <w:rPr>
          <w:rFonts w:ascii="GalanoGrotesque-Light" w:hAnsi="GalanoGrotesque-Light"/>
          <w:sz w:val="22"/>
          <w:szCs w:val="22"/>
          <w:lang w:val="es-MX"/>
        </w:rPr>
        <w:t xml:space="preserve"> </w:t>
      </w:r>
      <w:r w:rsidRPr="005F6A99">
        <w:rPr>
          <w:rFonts w:ascii="GalanoGrotesque-Light" w:hAnsi="GalanoGrotesque-Light"/>
          <w:sz w:val="22"/>
          <w:szCs w:val="22"/>
          <w:lang w:val="es-MX"/>
        </w:rPr>
        <w:t>presente ejercicio, simultáneamente con la afectación presupuestal como lo señala el artículo 40 del citado.  Cabe mencionar, en apego a las disposiciones que norman la materia, en fechas posteriores al reporte financiero, se continúan realizando acciones de reclasificación de la cuenta contable denominada obras en proceso.</w:t>
      </w:r>
    </w:p>
    <w:p w14:paraId="076C620B" w14:textId="77777777" w:rsidR="00102E0B" w:rsidRPr="005F6A99" w:rsidRDefault="00102E0B" w:rsidP="00102E0B">
      <w:pPr>
        <w:pStyle w:val="Prrafodelista"/>
        <w:spacing w:line="360" w:lineRule="auto"/>
        <w:ind w:left="1429"/>
        <w:jc w:val="both"/>
        <w:rPr>
          <w:rFonts w:ascii="GalanoGrotesque-Light" w:hAnsi="GalanoGrotesque-Light"/>
          <w:sz w:val="22"/>
          <w:szCs w:val="22"/>
          <w:lang w:val="es-MX"/>
        </w:rPr>
      </w:pPr>
    </w:p>
    <w:p w14:paraId="1A8F9281" w14:textId="77777777" w:rsidR="00B82D70" w:rsidRPr="005F6A99" w:rsidRDefault="00B82D70" w:rsidP="00102E0B">
      <w:pPr>
        <w:spacing w:before="0" w:after="0"/>
        <w:ind w:left="1418"/>
        <w:rPr>
          <w:rFonts w:eastAsia="Calibri" w:cs="Times New Roman"/>
          <w:color w:val="000000"/>
          <w:sz w:val="22"/>
          <w:szCs w:val="22"/>
        </w:rPr>
      </w:pPr>
      <w:r w:rsidRPr="005F6A99">
        <w:rPr>
          <w:rFonts w:eastAsia="Calibri" w:cs="Times New Roman"/>
          <w:color w:val="000000"/>
          <w:sz w:val="22"/>
          <w:szCs w:val="22"/>
        </w:rPr>
        <w:t>A continuación, se detalla la integración de este rubro:</w:t>
      </w:r>
    </w:p>
    <w:p w14:paraId="44CA5537" w14:textId="3A6669E8" w:rsidR="0044578D" w:rsidRPr="005F6A99" w:rsidRDefault="0029041D" w:rsidP="005A01C9">
      <w:pPr>
        <w:spacing w:before="120" w:after="120"/>
        <w:jc w:val="center"/>
        <w:rPr>
          <w:rFonts w:eastAsia="Times New Roman" w:cs="Times New Roman"/>
          <w:color w:val="833C0B"/>
          <w:lang w:eastAsia="es-MX"/>
        </w:rPr>
      </w:pPr>
      <w:r w:rsidRPr="005F6A99">
        <w:rPr>
          <w:noProof/>
          <w:lang w:val="es-MX" w:eastAsia="es-MX"/>
        </w:rPr>
        <w:drawing>
          <wp:inline distT="0" distB="0" distL="0" distR="0" wp14:anchorId="06BA670F" wp14:editId="488FB82E">
            <wp:extent cx="6351270" cy="1459230"/>
            <wp:effectExtent l="0" t="0" r="0" b="762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270" cy="1459230"/>
                    </a:xfrm>
                    <a:prstGeom prst="rect">
                      <a:avLst/>
                    </a:prstGeom>
                    <a:noFill/>
                    <a:ln>
                      <a:noFill/>
                    </a:ln>
                  </pic:spPr>
                </pic:pic>
              </a:graphicData>
            </a:graphic>
          </wp:inline>
        </w:drawing>
      </w:r>
    </w:p>
    <w:p w14:paraId="21340350" w14:textId="5635B99B" w:rsidR="00B82D70" w:rsidRPr="005F6A99" w:rsidRDefault="00B82D70" w:rsidP="00B82D70">
      <w:pPr>
        <w:spacing w:before="0" w:after="0"/>
        <w:rPr>
          <w:rFonts w:eastAsia="Calibri" w:cs="Times New Roman"/>
          <w:b/>
          <w:color w:val="000000"/>
          <w:sz w:val="22"/>
          <w:szCs w:val="22"/>
        </w:rPr>
      </w:pPr>
      <w:r w:rsidRPr="005F6A99">
        <w:rPr>
          <w:rFonts w:eastAsia="Calibri" w:cs="Times New Roman"/>
          <w:b/>
          <w:color w:val="000000"/>
          <w:sz w:val="22"/>
          <w:szCs w:val="22"/>
        </w:rPr>
        <w:t>BIENES MUEBLES</w:t>
      </w:r>
    </w:p>
    <w:p w14:paraId="5385DC73" w14:textId="77777777" w:rsidR="00B82D70" w:rsidRPr="005F6A99" w:rsidRDefault="00B82D70" w:rsidP="00B82D70">
      <w:pPr>
        <w:spacing w:before="0" w:after="0"/>
        <w:ind w:left="284"/>
        <w:rPr>
          <w:rFonts w:eastAsia="Calibri" w:cs="Times New Roman"/>
          <w:color w:val="000000"/>
          <w:sz w:val="22"/>
          <w:szCs w:val="22"/>
        </w:rPr>
      </w:pPr>
      <w:r w:rsidRPr="005F6A99">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1670417" w14:textId="77777777" w:rsidR="00B82D70" w:rsidRPr="005F6A99" w:rsidRDefault="00B82D70" w:rsidP="00B82D70">
      <w:pPr>
        <w:spacing w:before="0" w:after="0"/>
        <w:ind w:left="284"/>
        <w:rPr>
          <w:rFonts w:eastAsia="Calibri" w:cs="Times New Roman"/>
          <w:color w:val="000000"/>
          <w:sz w:val="22"/>
          <w:szCs w:val="22"/>
        </w:rPr>
      </w:pPr>
    </w:p>
    <w:p w14:paraId="7814B7CD" w14:textId="77777777" w:rsidR="00B82D70" w:rsidRPr="005F6A99" w:rsidRDefault="00B82D70" w:rsidP="00B82D70">
      <w:pPr>
        <w:spacing w:before="0" w:after="0"/>
        <w:ind w:left="284"/>
        <w:rPr>
          <w:rFonts w:eastAsia="Calibri" w:cs="Times New Roman"/>
          <w:color w:val="000000"/>
          <w:sz w:val="22"/>
          <w:szCs w:val="22"/>
        </w:rPr>
      </w:pPr>
      <w:r w:rsidRPr="005F6A99">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494B59C" w14:textId="72D5B09B" w:rsidR="00BA5F0B" w:rsidRPr="005F6A99" w:rsidRDefault="00B82D70" w:rsidP="005A01C9">
      <w:pPr>
        <w:spacing w:before="0" w:after="0"/>
        <w:ind w:left="284"/>
        <w:rPr>
          <w:rFonts w:eastAsia="Calibri" w:cs="Times New Roman"/>
          <w:color w:val="000000"/>
          <w:sz w:val="22"/>
          <w:szCs w:val="22"/>
        </w:rPr>
      </w:pPr>
      <w:r w:rsidRPr="005F6A99">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4807EFF9" w14:textId="77777777" w:rsidR="00B82D70" w:rsidRPr="005F6A99" w:rsidRDefault="00B82D70" w:rsidP="00B82D70">
      <w:pPr>
        <w:spacing w:before="0" w:after="0"/>
        <w:ind w:firstLine="284"/>
        <w:rPr>
          <w:rFonts w:eastAsia="Calibri" w:cs="Times New Roman"/>
          <w:color w:val="000000"/>
          <w:sz w:val="22"/>
          <w:szCs w:val="22"/>
        </w:rPr>
      </w:pPr>
      <w:r w:rsidRPr="005F6A99">
        <w:rPr>
          <w:rFonts w:eastAsia="Calibri" w:cs="Times New Roman"/>
          <w:color w:val="000000"/>
          <w:sz w:val="22"/>
          <w:szCs w:val="22"/>
        </w:rPr>
        <w:lastRenderedPageBreak/>
        <w:t>A continuación, se detalla la integración de este rubro:</w:t>
      </w:r>
    </w:p>
    <w:p w14:paraId="738DF62D" w14:textId="77777777" w:rsidR="00B82D70" w:rsidRPr="005F6A99" w:rsidRDefault="00B82D70" w:rsidP="00B82D70">
      <w:pPr>
        <w:spacing w:before="0" w:after="0"/>
        <w:ind w:firstLine="284"/>
        <w:rPr>
          <w:rFonts w:eastAsia="Calibri" w:cs="Times New Roman"/>
          <w:color w:val="632423"/>
          <w:sz w:val="22"/>
          <w:szCs w:val="22"/>
        </w:rPr>
      </w:pPr>
    </w:p>
    <w:p w14:paraId="00402BBC" w14:textId="746A208C" w:rsidR="00C0303A" w:rsidRPr="005F6A99" w:rsidRDefault="0029041D" w:rsidP="001557B1">
      <w:pPr>
        <w:widowControl w:val="0"/>
        <w:tabs>
          <w:tab w:val="left" w:pos="465"/>
        </w:tabs>
        <w:kinsoku w:val="0"/>
        <w:spacing w:before="120" w:after="120"/>
        <w:ind w:left="284"/>
        <w:contextualSpacing/>
        <w:jc w:val="center"/>
        <w:rPr>
          <w:rFonts w:eastAsia="Times New Roman" w:cs="Times New Roman"/>
          <w:color w:val="833C0B"/>
          <w:lang w:val="en-US" w:eastAsia="es-MX"/>
        </w:rPr>
      </w:pPr>
      <w:r w:rsidRPr="005F6A99">
        <w:rPr>
          <w:noProof/>
          <w:lang w:val="es-MX" w:eastAsia="es-MX"/>
        </w:rPr>
        <w:drawing>
          <wp:inline distT="0" distB="0" distL="0" distR="0" wp14:anchorId="04927141" wp14:editId="2AF2AB94">
            <wp:extent cx="6351270" cy="1619885"/>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1619885"/>
                    </a:xfrm>
                    <a:prstGeom prst="rect">
                      <a:avLst/>
                    </a:prstGeom>
                    <a:noFill/>
                    <a:ln>
                      <a:noFill/>
                    </a:ln>
                  </pic:spPr>
                </pic:pic>
              </a:graphicData>
            </a:graphic>
          </wp:inline>
        </w:drawing>
      </w:r>
    </w:p>
    <w:p w14:paraId="6BEE2EA4" w14:textId="77777777" w:rsidR="00C0303A" w:rsidRPr="005F6A99" w:rsidRDefault="00C0303A" w:rsidP="00B82D70">
      <w:pPr>
        <w:widowControl w:val="0"/>
        <w:spacing w:before="0" w:after="0"/>
        <w:jc w:val="left"/>
        <w:rPr>
          <w:rFonts w:eastAsia="Times New Roman" w:cs="Times New Roman"/>
          <w:color w:val="000000"/>
          <w:sz w:val="22"/>
          <w:szCs w:val="22"/>
          <w:lang w:eastAsia="es-MX"/>
        </w:rPr>
      </w:pPr>
    </w:p>
    <w:p w14:paraId="3E26B855" w14:textId="019F44B9" w:rsidR="00B82D70" w:rsidRPr="005F6A99" w:rsidRDefault="00BA5F0B" w:rsidP="00071170">
      <w:pPr>
        <w:widowControl w:val="0"/>
        <w:spacing w:before="0" w:after="0"/>
        <w:jc w:val="left"/>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9</w:t>
      </w:r>
      <w:r w:rsidR="00B82D70" w:rsidRPr="005F6A99">
        <w:rPr>
          <w:rFonts w:eastAsia="Times New Roman" w:cs="Times New Roman"/>
          <w:b/>
          <w:color w:val="000000"/>
          <w:sz w:val="22"/>
          <w:szCs w:val="22"/>
          <w:lang w:eastAsia="es-MX"/>
        </w:rPr>
        <w:t>.- ACTIVOS INTANGIBLES</w:t>
      </w:r>
    </w:p>
    <w:p w14:paraId="0FFC059A" w14:textId="77777777" w:rsidR="00744BAB" w:rsidRPr="005F6A99" w:rsidRDefault="00744BAB" w:rsidP="00B82D70">
      <w:pPr>
        <w:spacing w:before="0" w:after="0"/>
        <w:rPr>
          <w:rFonts w:eastAsia="Calibri" w:cs="Times New Roman"/>
          <w:color w:val="000000"/>
          <w:sz w:val="22"/>
          <w:szCs w:val="22"/>
        </w:rPr>
      </w:pPr>
    </w:p>
    <w:p w14:paraId="6C29C12A" w14:textId="10290045" w:rsidR="00B82D70" w:rsidRPr="005F6A99" w:rsidRDefault="00B82D70" w:rsidP="00B82D70">
      <w:pPr>
        <w:spacing w:before="0" w:after="0"/>
        <w:rPr>
          <w:rFonts w:eastAsia="Calibri" w:cs="Times New Roman"/>
          <w:color w:val="000000"/>
          <w:sz w:val="22"/>
          <w:szCs w:val="22"/>
        </w:rPr>
      </w:pPr>
      <w:r w:rsidRPr="005F6A99">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FB1702A" w14:textId="4A0D13C1" w:rsidR="00071170" w:rsidRPr="005F6A99" w:rsidRDefault="0029041D" w:rsidP="00B82D70">
      <w:pPr>
        <w:widowControl w:val="0"/>
        <w:spacing w:before="0" w:after="0"/>
        <w:jc w:val="left"/>
        <w:rPr>
          <w:rFonts w:eastAsia="Times New Roman" w:cs="Times New Roman"/>
          <w:b/>
          <w:color w:val="000000"/>
          <w:sz w:val="22"/>
          <w:szCs w:val="22"/>
          <w:lang w:eastAsia="es-MX"/>
        </w:rPr>
      </w:pPr>
      <w:r w:rsidRPr="005F6A99">
        <w:rPr>
          <w:noProof/>
          <w:lang w:val="es-MX" w:eastAsia="es-MX"/>
        </w:rPr>
        <w:drawing>
          <wp:inline distT="0" distB="0" distL="0" distR="0" wp14:anchorId="54EAF2EE" wp14:editId="7C5E7F34">
            <wp:extent cx="6351270" cy="97536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778952E3" w14:textId="57906163" w:rsidR="00B82D70" w:rsidRPr="005F6A99" w:rsidRDefault="00B82D70" w:rsidP="00B82D70">
      <w:pPr>
        <w:widowControl w:val="0"/>
        <w:spacing w:before="0" w:after="0"/>
        <w:jc w:val="left"/>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ACTIVOS DIFERIDOS</w:t>
      </w:r>
    </w:p>
    <w:p w14:paraId="61C67580" w14:textId="17EF1533" w:rsidR="00B82D70" w:rsidRPr="005F6A99" w:rsidRDefault="00B82D70" w:rsidP="00B82D70">
      <w:pPr>
        <w:spacing w:before="0" w:after="0"/>
        <w:rPr>
          <w:rFonts w:eastAsia="Calibri" w:cs="Times New Roman"/>
          <w:color w:val="000000"/>
          <w:sz w:val="22"/>
          <w:szCs w:val="22"/>
        </w:rPr>
      </w:pPr>
      <w:r w:rsidRPr="005F6A99">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Pr="005F6A99" w:rsidRDefault="00B82D70" w:rsidP="00B82D70">
      <w:pPr>
        <w:spacing w:before="0" w:after="0"/>
        <w:rPr>
          <w:rFonts w:eastAsia="Calibri" w:cs="Times New Roman"/>
          <w:color w:val="000000"/>
          <w:sz w:val="22"/>
          <w:szCs w:val="22"/>
        </w:rPr>
      </w:pPr>
      <w:r w:rsidRPr="005F6A99">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E549BE8" w14:textId="4459EFA7" w:rsidR="00B82D70" w:rsidRPr="005F6A99" w:rsidRDefault="0029041D" w:rsidP="00B82D70">
      <w:pPr>
        <w:jc w:val="center"/>
        <w:rPr>
          <w:rFonts w:eastAsia="Calibri" w:cs="Times New Roman"/>
          <w:color w:val="000000"/>
        </w:rPr>
      </w:pPr>
      <w:r w:rsidRPr="005F6A99">
        <w:rPr>
          <w:noProof/>
          <w:lang w:val="es-MX" w:eastAsia="es-MX"/>
        </w:rPr>
        <w:lastRenderedPageBreak/>
        <w:drawing>
          <wp:inline distT="0" distB="0" distL="0" distR="0" wp14:anchorId="45FAE8AE" wp14:editId="40FDB607">
            <wp:extent cx="6351270" cy="836930"/>
            <wp:effectExtent l="0" t="0" r="0" b="127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270" cy="836930"/>
                    </a:xfrm>
                    <a:prstGeom prst="rect">
                      <a:avLst/>
                    </a:prstGeom>
                    <a:noFill/>
                    <a:ln>
                      <a:noFill/>
                    </a:ln>
                  </pic:spPr>
                </pic:pic>
              </a:graphicData>
            </a:graphic>
          </wp:inline>
        </w:drawing>
      </w:r>
    </w:p>
    <w:p w14:paraId="2EEDD166" w14:textId="77777777" w:rsidR="00BA5F0B" w:rsidRPr="005F6A99" w:rsidRDefault="00BA5F0B" w:rsidP="00B82D70">
      <w:pPr>
        <w:widowControl w:val="0"/>
        <w:kinsoku w:val="0"/>
        <w:spacing w:before="0" w:after="0"/>
        <w:contextualSpacing/>
        <w:jc w:val="left"/>
        <w:rPr>
          <w:rFonts w:eastAsia="Times New Roman" w:cs="Times New Roman"/>
          <w:b/>
          <w:color w:val="000000"/>
          <w:sz w:val="22"/>
          <w:szCs w:val="22"/>
          <w:lang w:eastAsia="es-MX"/>
        </w:rPr>
      </w:pPr>
    </w:p>
    <w:p w14:paraId="4DD5E3B0" w14:textId="0FF919BB" w:rsidR="00A40013" w:rsidRPr="005F6A99" w:rsidRDefault="00A40013" w:rsidP="00B82D70">
      <w:pPr>
        <w:widowControl w:val="0"/>
        <w:kinsoku w:val="0"/>
        <w:spacing w:before="0" w:after="0"/>
        <w:contextualSpacing/>
        <w:jc w:val="left"/>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10. ESTIMACIONES Y DETERIOROS</w:t>
      </w:r>
    </w:p>
    <w:p w14:paraId="02E6DB56" w14:textId="3ADA9BC2" w:rsidR="00A40013" w:rsidRPr="005F6A99" w:rsidRDefault="00A40013" w:rsidP="00B82D70">
      <w:pPr>
        <w:widowControl w:val="0"/>
        <w:kinsoku w:val="0"/>
        <w:spacing w:before="0" w:after="0"/>
        <w:contextualSpacing/>
        <w:jc w:val="left"/>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 xml:space="preserve">No aplica </w:t>
      </w:r>
    </w:p>
    <w:p w14:paraId="6F962F06" w14:textId="6F96F94E" w:rsidR="00A40013" w:rsidRPr="005F6A99"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AF87B30" w14:textId="1D0D96D6" w:rsidR="00A40013" w:rsidRPr="005F6A99" w:rsidRDefault="00A40013" w:rsidP="00B82D70">
      <w:pPr>
        <w:widowControl w:val="0"/>
        <w:kinsoku w:val="0"/>
        <w:spacing w:before="0" w:after="0"/>
        <w:contextualSpacing/>
        <w:jc w:val="left"/>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11.- OTROS ACTIVOS</w:t>
      </w:r>
    </w:p>
    <w:p w14:paraId="35528935" w14:textId="3BDFB8FE" w:rsidR="00A40013" w:rsidRPr="005F6A99" w:rsidRDefault="00A40013" w:rsidP="00B82D70">
      <w:pPr>
        <w:widowControl w:val="0"/>
        <w:kinsoku w:val="0"/>
        <w:spacing w:before="0" w:after="0"/>
        <w:contextualSpacing/>
        <w:jc w:val="left"/>
        <w:rPr>
          <w:rFonts w:eastAsia="Times New Roman" w:cs="Times New Roman"/>
          <w:bCs/>
          <w:color w:val="000000"/>
          <w:sz w:val="22"/>
          <w:szCs w:val="22"/>
          <w:lang w:eastAsia="es-MX"/>
        </w:rPr>
      </w:pPr>
      <w:r w:rsidRPr="005F6A99">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Pr="005F6A99"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5F6A99" w:rsidRDefault="00B82D70" w:rsidP="00B82D70">
      <w:pPr>
        <w:widowControl w:val="0"/>
        <w:kinsoku w:val="0"/>
        <w:spacing w:before="0" w:after="0"/>
        <w:contextualSpacing/>
        <w:jc w:val="left"/>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PASIVO</w:t>
      </w:r>
    </w:p>
    <w:p w14:paraId="7A0F91AA" w14:textId="77777777" w:rsidR="00B82D70" w:rsidRPr="005F6A99" w:rsidRDefault="00B82D70" w:rsidP="00B82D70">
      <w:pPr>
        <w:widowControl w:val="0"/>
        <w:kinsoku w:val="0"/>
        <w:spacing w:before="0" w:after="0"/>
        <w:contextualSpacing/>
        <w:jc w:val="left"/>
        <w:rPr>
          <w:rFonts w:eastAsia="Times New Roman" w:cs="Times New Roman"/>
          <w:b/>
          <w:color w:val="000000"/>
          <w:sz w:val="22"/>
          <w:szCs w:val="22"/>
          <w:lang w:eastAsia="es-MX"/>
        </w:rPr>
      </w:pPr>
    </w:p>
    <w:p w14:paraId="31E5F76D" w14:textId="7D0C8D11" w:rsidR="00B82D70" w:rsidRPr="005F6A99" w:rsidRDefault="00B82D70" w:rsidP="0070010C">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04686139" w14:textId="6D0E78B2" w:rsidR="00C0303A" w:rsidRPr="005F6A99" w:rsidRDefault="00B82D70" w:rsidP="00B82D70">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8027FC" w:rsidRPr="005F6A99">
        <w:rPr>
          <w:rFonts w:eastAsia="Times New Roman" w:cs="Times New Roman"/>
          <w:color w:val="000000"/>
          <w:sz w:val="22"/>
          <w:szCs w:val="22"/>
          <w:lang w:eastAsia="es-MX"/>
        </w:rPr>
        <w:t>0</w:t>
      </w:r>
      <w:r w:rsidRPr="005F6A99">
        <w:rPr>
          <w:rFonts w:eastAsia="Times New Roman" w:cs="Times New Roman"/>
          <w:color w:val="000000"/>
          <w:sz w:val="22"/>
          <w:szCs w:val="22"/>
          <w:lang w:eastAsia="es-MX"/>
        </w:rPr>
        <w:t xml:space="preserve"> de </w:t>
      </w:r>
      <w:r w:rsidR="0070010C" w:rsidRPr="005F6A99">
        <w:rPr>
          <w:rFonts w:eastAsia="Times New Roman" w:cs="Times New Roman"/>
          <w:color w:val="000000"/>
          <w:sz w:val="22"/>
          <w:szCs w:val="22"/>
          <w:lang w:eastAsia="es-MX"/>
        </w:rPr>
        <w:t>septiembre</w:t>
      </w:r>
      <w:r w:rsidRPr="005F6A99">
        <w:rPr>
          <w:rFonts w:eastAsia="Times New Roman" w:cs="Times New Roman"/>
          <w:color w:val="000000"/>
          <w:sz w:val="22"/>
          <w:szCs w:val="22"/>
          <w:lang w:eastAsia="es-MX"/>
        </w:rPr>
        <w:t xml:space="preserve"> de 202</w:t>
      </w:r>
      <w:r w:rsidR="005856EF" w:rsidRPr="005F6A99">
        <w:rPr>
          <w:rFonts w:eastAsia="Times New Roman" w:cs="Times New Roman"/>
          <w:color w:val="000000"/>
          <w:sz w:val="22"/>
          <w:szCs w:val="22"/>
          <w:lang w:eastAsia="es-MX"/>
        </w:rPr>
        <w:t>2</w:t>
      </w:r>
      <w:r w:rsidRPr="005F6A99">
        <w:rPr>
          <w:rFonts w:eastAsia="Times New Roman" w:cs="Times New Roman"/>
          <w:color w:val="000000"/>
          <w:sz w:val="22"/>
          <w:szCs w:val="22"/>
          <w:lang w:eastAsia="es-MX"/>
        </w:rPr>
        <w:t>, pasivos por obligaciones fiscales y laborales, acreedores diversos y pasivos por deudas contraídas a corto y largo plazo.</w:t>
      </w:r>
    </w:p>
    <w:p w14:paraId="1D0F263B" w14:textId="4EEE4B8D" w:rsidR="00744BAB" w:rsidRPr="005F6A99" w:rsidRDefault="0070010C" w:rsidP="0070010C">
      <w:pPr>
        <w:tabs>
          <w:tab w:val="left" w:pos="480"/>
        </w:tabs>
        <w:spacing w:before="120" w:after="120"/>
        <w:jc w:val="center"/>
        <w:rPr>
          <w:rFonts w:eastAsia="Calibri" w:cs="Times New Roman"/>
          <w:b/>
          <w:color w:val="000000"/>
        </w:rPr>
      </w:pPr>
      <w:r w:rsidRPr="005F6A99">
        <w:rPr>
          <w:noProof/>
          <w:lang w:val="es-MX" w:eastAsia="es-MX"/>
        </w:rPr>
        <w:drawing>
          <wp:inline distT="0" distB="0" distL="0" distR="0" wp14:anchorId="5BFAA0D8" wp14:editId="68B18372">
            <wp:extent cx="6351270" cy="65278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19A47488" w14:textId="77777777" w:rsidR="00594022" w:rsidRPr="005F6A99" w:rsidRDefault="00594022" w:rsidP="005A01C9">
      <w:pPr>
        <w:widowControl w:val="0"/>
        <w:kinsoku w:val="0"/>
        <w:spacing w:before="0" w:after="0"/>
        <w:contextualSpacing/>
        <w:rPr>
          <w:rFonts w:eastAsia="Times New Roman" w:cs="Times New Roman"/>
          <w:b/>
          <w:color w:val="000000"/>
          <w:sz w:val="22"/>
          <w:szCs w:val="22"/>
          <w:lang w:eastAsia="es-MX"/>
        </w:rPr>
      </w:pPr>
    </w:p>
    <w:p w14:paraId="06DE75A1" w14:textId="0BF38E3D" w:rsidR="00744BAB" w:rsidRPr="005F6A99" w:rsidRDefault="0070010C" w:rsidP="005A01C9">
      <w:pPr>
        <w:widowControl w:val="0"/>
        <w:kinsoku w:val="0"/>
        <w:spacing w:before="0" w:after="0"/>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lastRenderedPageBreak/>
        <w:t xml:space="preserve">1. </w:t>
      </w:r>
      <w:r w:rsidR="00B82D70" w:rsidRPr="005F6A99">
        <w:rPr>
          <w:rFonts w:eastAsia="Times New Roman" w:cs="Times New Roman"/>
          <w:b/>
          <w:color w:val="000000"/>
          <w:sz w:val="22"/>
          <w:szCs w:val="22"/>
          <w:lang w:eastAsia="es-MX"/>
        </w:rPr>
        <w:t>PASIVO CIRCULANTE</w:t>
      </w:r>
      <w:r w:rsidRPr="005F6A99">
        <w:rPr>
          <w:rFonts w:eastAsia="Times New Roman" w:cs="Times New Roman"/>
          <w:b/>
          <w:color w:val="000000"/>
          <w:sz w:val="22"/>
          <w:szCs w:val="22"/>
          <w:lang w:eastAsia="es-MX"/>
        </w:rPr>
        <w:t xml:space="preserve"> (CUENTAS POR PAGAR A 30, 90, 180 Y MENOR O IGUAL A 365 DÍAS)</w:t>
      </w:r>
      <w:r w:rsidR="00B82D70" w:rsidRPr="005F6A99">
        <w:rPr>
          <w:rFonts w:eastAsia="Times New Roman" w:cs="Times New Roman"/>
          <w:b/>
          <w:color w:val="000000"/>
          <w:sz w:val="22"/>
          <w:szCs w:val="22"/>
          <w:lang w:eastAsia="es-MX"/>
        </w:rPr>
        <w:t xml:space="preserve"> </w:t>
      </w:r>
    </w:p>
    <w:p w14:paraId="521A494A" w14:textId="77777777" w:rsidR="00B82D70" w:rsidRPr="005F6A99" w:rsidRDefault="00B82D70" w:rsidP="00B82D70">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557A80F6" w14:textId="77777777" w:rsidR="00B82D70" w:rsidRPr="005F6A99" w:rsidRDefault="00B82D70" w:rsidP="00B82D70">
      <w:pPr>
        <w:widowControl w:val="0"/>
        <w:kinsoku w:val="0"/>
        <w:spacing w:before="120" w:after="120"/>
        <w:ind w:left="284"/>
        <w:contextualSpacing/>
        <w:rPr>
          <w:rFonts w:eastAsia="Times New Roman" w:cs="Times New Roman"/>
          <w:color w:val="000000"/>
          <w:sz w:val="22"/>
          <w:szCs w:val="22"/>
          <w:lang w:eastAsia="es-MX"/>
        </w:rPr>
      </w:pPr>
    </w:p>
    <w:p w14:paraId="1288ED57" w14:textId="32E707EE" w:rsidR="005A01C9" w:rsidRPr="005F6A99" w:rsidRDefault="0070010C" w:rsidP="008027FC">
      <w:pPr>
        <w:widowControl w:val="0"/>
        <w:kinsoku w:val="0"/>
        <w:spacing w:before="120" w:after="120"/>
        <w:ind w:left="426" w:hanging="142"/>
        <w:contextualSpacing/>
        <w:jc w:val="center"/>
        <w:rPr>
          <w:rFonts w:eastAsia="Times New Roman" w:cs="Times New Roman"/>
          <w:color w:val="000000"/>
          <w:lang w:eastAsia="es-MX"/>
        </w:rPr>
      </w:pPr>
      <w:r w:rsidRPr="005F6A99">
        <w:rPr>
          <w:noProof/>
          <w:lang w:val="es-MX" w:eastAsia="es-MX"/>
        </w:rPr>
        <w:drawing>
          <wp:inline distT="0" distB="0" distL="0" distR="0" wp14:anchorId="49707E8B" wp14:editId="48ECAA84">
            <wp:extent cx="6351270" cy="97536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3E3D466E" w14:textId="77777777" w:rsidR="005A01C9" w:rsidRPr="005F6A99" w:rsidRDefault="005A01C9" w:rsidP="00B82D70">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5F6A99" w:rsidRDefault="00B82D70" w:rsidP="00B82D70">
      <w:pPr>
        <w:widowControl w:val="0"/>
        <w:kinsoku w:val="0"/>
        <w:spacing w:before="0" w:after="0"/>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CUENTAS POR PAGAR A CORTO PLAZO</w:t>
      </w:r>
      <w:r w:rsidRPr="005F6A99">
        <w:rPr>
          <w:rFonts w:eastAsia="Calibri" w:cs="Times New Roman"/>
          <w:sz w:val="22"/>
          <w:szCs w:val="22"/>
        </w:rPr>
        <w:t xml:space="preserve"> </w:t>
      </w:r>
    </w:p>
    <w:p w14:paraId="49F584AF" w14:textId="700826C7" w:rsidR="00C0303A" w:rsidRPr="005F6A99" w:rsidRDefault="00B82D70" w:rsidP="00B82D70">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En el renglón de Cuentas por Pagar Corto Plazo, se incluyeron, para su presentación, los siguientes conceptos:</w:t>
      </w:r>
    </w:p>
    <w:p w14:paraId="15565F50" w14:textId="1FD45878" w:rsidR="00B82D70" w:rsidRPr="005F6A99" w:rsidRDefault="00B82D70" w:rsidP="005A01C9">
      <w:pPr>
        <w:widowControl w:val="0"/>
        <w:kinsoku w:val="0"/>
        <w:spacing w:before="0" w:after="0"/>
        <w:contextualSpacing/>
        <w:jc w:val="center"/>
        <w:rPr>
          <w:rFonts w:eastAsia="Times New Roman" w:cs="Times New Roman"/>
          <w:color w:val="833C0B"/>
          <w:lang w:eastAsia="es-MX"/>
        </w:rPr>
      </w:pPr>
    </w:p>
    <w:p w14:paraId="2D933749" w14:textId="4A66FFAF" w:rsidR="00B924C2" w:rsidRPr="005F6A99" w:rsidRDefault="0070010C" w:rsidP="00B82D70">
      <w:pPr>
        <w:widowControl w:val="0"/>
        <w:kinsoku w:val="0"/>
        <w:spacing w:before="0" w:after="0"/>
        <w:contextualSpacing/>
        <w:rPr>
          <w:rFonts w:eastAsia="Times New Roman" w:cs="Times New Roman"/>
          <w:color w:val="833C0B"/>
          <w:lang w:eastAsia="es-MX"/>
        </w:rPr>
      </w:pPr>
      <w:r w:rsidRPr="005F6A99">
        <w:rPr>
          <w:noProof/>
          <w:lang w:val="es-MX" w:eastAsia="es-MX"/>
        </w:rPr>
        <w:drawing>
          <wp:inline distT="0" distB="0" distL="0" distR="0" wp14:anchorId="7E0F30D6" wp14:editId="1B07D0C4">
            <wp:extent cx="6351270" cy="1889125"/>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1889125"/>
                    </a:xfrm>
                    <a:prstGeom prst="rect">
                      <a:avLst/>
                    </a:prstGeom>
                    <a:noFill/>
                    <a:ln>
                      <a:noFill/>
                    </a:ln>
                  </pic:spPr>
                </pic:pic>
              </a:graphicData>
            </a:graphic>
          </wp:inline>
        </w:drawing>
      </w:r>
    </w:p>
    <w:p w14:paraId="266B3B32" w14:textId="396AC529" w:rsidR="008027FC" w:rsidRPr="005F6A99" w:rsidRDefault="008027FC" w:rsidP="00B82D70">
      <w:pPr>
        <w:spacing w:before="0" w:after="0"/>
        <w:rPr>
          <w:rFonts w:eastAsia="Calibri" w:cs="Times New Roman"/>
          <w:b/>
          <w:sz w:val="22"/>
          <w:szCs w:val="22"/>
        </w:rPr>
      </w:pPr>
    </w:p>
    <w:p w14:paraId="60E67A22" w14:textId="711756D3" w:rsidR="0070010C" w:rsidRPr="005F6A99" w:rsidRDefault="0070010C" w:rsidP="0070010C">
      <w:pPr>
        <w:spacing w:before="0" w:after="0"/>
        <w:rPr>
          <w:rFonts w:eastAsia="Calibri" w:cs="Times New Roman"/>
          <w:b/>
          <w:sz w:val="22"/>
          <w:szCs w:val="22"/>
        </w:rPr>
      </w:pPr>
      <w:r w:rsidRPr="005F6A99">
        <w:rPr>
          <w:rFonts w:eastAsia="Calibri" w:cs="Times New Roman"/>
          <w:b/>
          <w:sz w:val="22"/>
          <w:szCs w:val="22"/>
        </w:rPr>
        <w:t>OTROS PASIVOS A CORTO PLAZO</w:t>
      </w:r>
    </w:p>
    <w:p w14:paraId="04E8508F" w14:textId="77777777" w:rsidR="0070010C" w:rsidRPr="005F6A99" w:rsidRDefault="0070010C" w:rsidP="0070010C">
      <w:pPr>
        <w:spacing w:before="0" w:after="0"/>
        <w:rPr>
          <w:rFonts w:eastAsia="Calibri" w:cs="Times New Roman"/>
          <w:sz w:val="22"/>
          <w:szCs w:val="22"/>
        </w:rPr>
      </w:pPr>
      <w:r w:rsidRPr="005F6A99">
        <w:rPr>
          <w:rFonts w:eastAsia="Calibri" w:cs="Times New Roman"/>
          <w:sz w:val="22"/>
          <w:szCs w:val="22"/>
        </w:rPr>
        <w:t>La cuenta de Otros Pasivos a Corto Plazo se integra por los siguientes conceptos:</w:t>
      </w:r>
    </w:p>
    <w:p w14:paraId="5F672822" w14:textId="77777777" w:rsidR="0070010C" w:rsidRPr="005F6A99" w:rsidRDefault="0070010C" w:rsidP="0070010C">
      <w:pPr>
        <w:spacing w:before="0" w:after="0"/>
        <w:rPr>
          <w:rFonts w:eastAsia="Calibri" w:cs="Times New Roman"/>
          <w:sz w:val="10"/>
          <w:szCs w:val="10"/>
        </w:rPr>
      </w:pPr>
    </w:p>
    <w:p w14:paraId="137B844F" w14:textId="001BA83D" w:rsidR="0070010C" w:rsidRPr="005F6A99" w:rsidRDefault="0070010C" w:rsidP="0070010C">
      <w:pPr>
        <w:spacing w:before="120" w:after="120"/>
        <w:ind w:left="426"/>
        <w:jc w:val="left"/>
        <w:rPr>
          <w:rFonts w:eastAsia="Calibri" w:cs="Times New Roman"/>
        </w:rPr>
      </w:pPr>
      <w:r w:rsidRPr="005F6A99">
        <w:rPr>
          <w:noProof/>
          <w:lang w:val="es-MX" w:eastAsia="es-MX"/>
        </w:rPr>
        <w:drawing>
          <wp:inline distT="0" distB="0" distL="0" distR="0" wp14:anchorId="6123005A" wp14:editId="7884B5C0">
            <wp:extent cx="5947453" cy="762311"/>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9302" cy="768957"/>
                    </a:xfrm>
                    <a:prstGeom prst="rect">
                      <a:avLst/>
                    </a:prstGeom>
                    <a:noFill/>
                    <a:ln>
                      <a:noFill/>
                    </a:ln>
                  </pic:spPr>
                </pic:pic>
              </a:graphicData>
            </a:graphic>
          </wp:inline>
        </w:drawing>
      </w:r>
    </w:p>
    <w:p w14:paraId="501A8B17" w14:textId="048F8A05" w:rsidR="0070010C" w:rsidRPr="005F6A99" w:rsidRDefault="0070010C" w:rsidP="0070010C">
      <w:pPr>
        <w:spacing w:before="0" w:after="0"/>
        <w:rPr>
          <w:rFonts w:eastAsia="Calibri" w:cs="Times New Roman"/>
          <w:b/>
          <w:sz w:val="22"/>
          <w:szCs w:val="22"/>
        </w:rPr>
      </w:pPr>
      <w:r w:rsidRPr="005F6A99">
        <w:rPr>
          <w:rFonts w:eastAsia="Calibri" w:cs="Times New Roman"/>
          <w:sz w:val="22"/>
          <w:szCs w:val="22"/>
        </w:rPr>
        <w:lastRenderedPageBreak/>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Al cierre del período no se han compensado con la federación ya que representan el 91.88% del total</w:t>
      </w:r>
    </w:p>
    <w:p w14:paraId="0E760690" w14:textId="77777777" w:rsidR="0070010C" w:rsidRPr="005F6A99" w:rsidRDefault="0070010C" w:rsidP="00B82D70">
      <w:pPr>
        <w:spacing w:before="0" w:after="0"/>
        <w:rPr>
          <w:rFonts w:eastAsia="Calibri" w:cs="Times New Roman"/>
          <w:b/>
          <w:sz w:val="22"/>
          <w:szCs w:val="22"/>
        </w:rPr>
      </w:pPr>
    </w:p>
    <w:p w14:paraId="7B2B94C1" w14:textId="11C6C1B2" w:rsidR="00B82D70" w:rsidRPr="005F6A99" w:rsidRDefault="00B82D70" w:rsidP="00B82D70">
      <w:pPr>
        <w:spacing w:before="0" w:after="0"/>
        <w:rPr>
          <w:rFonts w:eastAsia="Calibri" w:cs="Times New Roman"/>
          <w:b/>
          <w:sz w:val="22"/>
          <w:szCs w:val="22"/>
        </w:rPr>
      </w:pPr>
      <w:r w:rsidRPr="005F6A99">
        <w:rPr>
          <w:rFonts w:eastAsia="Calibri" w:cs="Times New Roman"/>
          <w:b/>
          <w:sz w:val="22"/>
          <w:szCs w:val="22"/>
        </w:rPr>
        <w:t>2.- FONDOS Y BIENES DE TERCEROS EN GARANTÍA Y/O ADMINISTRACIÓN</w:t>
      </w:r>
    </w:p>
    <w:p w14:paraId="51F6B76F" w14:textId="43B43FDA" w:rsidR="00B82D70" w:rsidRPr="005F6A99" w:rsidRDefault="00B82D70" w:rsidP="00B82D70">
      <w:pPr>
        <w:spacing w:before="0" w:after="0"/>
        <w:rPr>
          <w:rFonts w:eastAsia="Calibri" w:cs="Times New Roman"/>
          <w:sz w:val="22"/>
          <w:szCs w:val="22"/>
        </w:rPr>
      </w:pPr>
      <w:r w:rsidRPr="005F6A99">
        <w:rPr>
          <w:rFonts w:eastAsia="Calibri" w:cs="Times New Roman"/>
          <w:sz w:val="22"/>
          <w:szCs w:val="22"/>
        </w:rPr>
        <w:t>El renglón de Fondos y Bienes de Terceros en Garantía y/ o Administración a Corto Plazo, se integra la de los siguientes fondos:</w:t>
      </w:r>
    </w:p>
    <w:p w14:paraId="750257B2" w14:textId="7E2010C4" w:rsidR="008027FC" w:rsidRPr="005F6A99" w:rsidRDefault="0070010C" w:rsidP="00B82D70">
      <w:pPr>
        <w:spacing w:before="0" w:after="0"/>
        <w:rPr>
          <w:rFonts w:eastAsia="Calibri" w:cs="Times New Roman"/>
          <w:sz w:val="22"/>
          <w:szCs w:val="22"/>
        </w:rPr>
      </w:pPr>
      <w:r w:rsidRPr="005F6A99">
        <w:rPr>
          <w:noProof/>
          <w:lang w:val="es-MX" w:eastAsia="es-MX"/>
        </w:rPr>
        <w:drawing>
          <wp:inline distT="0" distB="0" distL="0" distR="0" wp14:anchorId="68AFF91D" wp14:editId="540A6BBD">
            <wp:extent cx="6351270" cy="760095"/>
            <wp:effectExtent l="0" t="0" r="0" b="190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760095"/>
                    </a:xfrm>
                    <a:prstGeom prst="rect">
                      <a:avLst/>
                    </a:prstGeom>
                    <a:noFill/>
                    <a:ln>
                      <a:noFill/>
                    </a:ln>
                  </pic:spPr>
                </pic:pic>
              </a:graphicData>
            </a:graphic>
          </wp:inline>
        </w:drawing>
      </w:r>
    </w:p>
    <w:p w14:paraId="12936FC1" w14:textId="15E0ABAC" w:rsidR="00B82D70" w:rsidRPr="005F6A99" w:rsidRDefault="00B82D70" w:rsidP="00071170">
      <w:pPr>
        <w:spacing w:before="0" w:after="0"/>
        <w:rPr>
          <w:rFonts w:eastAsia="Calibri" w:cs="Times New Roman"/>
          <w:sz w:val="10"/>
          <w:szCs w:val="10"/>
        </w:rPr>
      </w:pPr>
    </w:p>
    <w:p w14:paraId="3D32FB0E" w14:textId="77777777" w:rsidR="00B82D70" w:rsidRPr="005F6A99" w:rsidRDefault="00B82D70" w:rsidP="00B82D70">
      <w:pPr>
        <w:spacing w:before="0" w:after="0"/>
        <w:rPr>
          <w:rFonts w:eastAsia="Calibri" w:cs="Times New Roman"/>
          <w:color w:val="000000"/>
          <w:sz w:val="22"/>
          <w:szCs w:val="22"/>
        </w:rPr>
      </w:pPr>
      <w:r w:rsidRPr="005F6A99">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Pr="005F6A99" w:rsidRDefault="00B82D70" w:rsidP="00B82D70">
      <w:pPr>
        <w:spacing w:before="0" w:after="0"/>
        <w:ind w:left="425"/>
        <w:rPr>
          <w:rFonts w:eastAsia="Calibri" w:cs="Times New Roman"/>
          <w:sz w:val="22"/>
          <w:szCs w:val="22"/>
        </w:rPr>
      </w:pPr>
    </w:p>
    <w:p w14:paraId="1EAC3E14" w14:textId="77777777" w:rsidR="00B82D70" w:rsidRPr="005F6A99" w:rsidRDefault="00B82D70" w:rsidP="00B82D70">
      <w:pPr>
        <w:spacing w:before="0" w:after="0"/>
        <w:rPr>
          <w:rFonts w:eastAsia="Calibri" w:cs="Times New Roman"/>
          <w:sz w:val="22"/>
          <w:szCs w:val="22"/>
        </w:rPr>
      </w:pPr>
      <w:r w:rsidRPr="005F6A99">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5F6A99" w:rsidRDefault="00B82D70" w:rsidP="00E50EC4">
      <w:pPr>
        <w:spacing w:before="0" w:after="0"/>
        <w:rPr>
          <w:rFonts w:eastAsia="Calibri" w:cs="Times New Roman"/>
          <w:sz w:val="22"/>
          <w:szCs w:val="22"/>
        </w:rPr>
      </w:pPr>
    </w:p>
    <w:p w14:paraId="395EF2C0" w14:textId="74C0055B" w:rsidR="00B924C2" w:rsidRPr="005F6A99" w:rsidRDefault="00B82D70" w:rsidP="0070010C">
      <w:pPr>
        <w:spacing w:before="0" w:after="0"/>
        <w:rPr>
          <w:rFonts w:eastAsia="Calibri" w:cs="Times New Roman"/>
          <w:sz w:val="22"/>
          <w:szCs w:val="22"/>
        </w:rPr>
      </w:pPr>
      <w:r w:rsidRPr="005F6A99">
        <w:rPr>
          <w:rFonts w:eastAsia="Calibri" w:cs="Times New Roman"/>
          <w:sz w:val="22"/>
          <w:szCs w:val="22"/>
        </w:rPr>
        <w:t xml:space="preserve">Entre ellos se encuentran, aquellos que se reciben para la regularización de fraccionamientos, algunas aportaciones de acreedores del </w:t>
      </w:r>
      <w:r w:rsidRPr="005F6A99">
        <w:rPr>
          <w:rFonts w:eastAsia="Calibri" w:cs="Times New Roman"/>
          <w:color w:val="000000"/>
          <w:sz w:val="22"/>
          <w:szCs w:val="22"/>
        </w:rPr>
        <w:t>Instituto de Seguridad y Servicios Sociales de los Trabajadores del Estado</w:t>
      </w:r>
      <w:r w:rsidRPr="005F6A99">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3287F308" w14:textId="77777777" w:rsidR="00E7156D" w:rsidRPr="005F6A99" w:rsidRDefault="00E7156D" w:rsidP="00B82D70">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5F6A99" w:rsidRDefault="00B82D70" w:rsidP="00B82D70">
      <w:pPr>
        <w:widowControl w:val="0"/>
        <w:kinsoku w:val="0"/>
        <w:spacing w:before="0" w:after="0"/>
        <w:contextualSpacing/>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PASIVO NO CIRCULANTE</w:t>
      </w:r>
      <w:r w:rsidR="0070010C" w:rsidRPr="005F6A99">
        <w:rPr>
          <w:rFonts w:eastAsia="Times New Roman" w:cs="Times New Roman"/>
          <w:b/>
          <w:color w:val="000000"/>
          <w:sz w:val="22"/>
          <w:szCs w:val="22"/>
          <w:lang w:eastAsia="es-MX"/>
        </w:rPr>
        <w:t xml:space="preserve"> (CUENTAS POR PAGAR CON VENCIMIENTO MAYOR A 365 DÍAS)</w:t>
      </w:r>
    </w:p>
    <w:p w14:paraId="01E05422" w14:textId="2DE20227" w:rsidR="00B82D70" w:rsidRPr="005F6A99" w:rsidRDefault="00B82D70" w:rsidP="00B82D70">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581387E1" w14:textId="77777777" w:rsidR="00B82D70" w:rsidRPr="005F6A99" w:rsidRDefault="00B82D70" w:rsidP="00B82D70">
      <w:pPr>
        <w:widowControl w:val="0"/>
        <w:kinsoku w:val="0"/>
        <w:spacing w:before="0" w:after="0"/>
        <w:contextualSpacing/>
        <w:rPr>
          <w:rFonts w:eastAsia="Times New Roman" w:cs="Times New Roman"/>
          <w:color w:val="000000"/>
          <w:sz w:val="10"/>
          <w:szCs w:val="10"/>
          <w:lang w:eastAsia="es-MX"/>
        </w:rPr>
      </w:pPr>
    </w:p>
    <w:p w14:paraId="00509FCE" w14:textId="653F43A3" w:rsidR="00B82D70" w:rsidRPr="005F6A99" w:rsidRDefault="00071170" w:rsidP="00B82D70">
      <w:pPr>
        <w:jc w:val="center"/>
        <w:rPr>
          <w:color w:val="864A04" w:themeColor="accent2" w:themeShade="80"/>
        </w:rPr>
      </w:pPr>
      <w:r w:rsidRPr="005F6A99">
        <w:rPr>
          <w:noProof/>
          <w:lang w:val="es-MX" w:eastAsia="es-MX"/>
        </w:rPr>
        <w:drawing>
          <wp:inline distT="0" distB="0" distL="0" distR="0" wp14:anchorId="4712B0F0" wp14:editId="1C96059B">
            <wp:extent cx="6162675" cy="488950"/>
            <wp:effectExtent l="0" t="0" r="9525" b="6350"/>
            <wp:docPr id="17" name="Imagen 1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0000000-0008-0000-0000-000011000000}"/>
                        </a:ext>
                      </a:extLst>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162675" cy="488950"/>
                    </a:xfrm>
                    <a:prstGeom prst="rect">
                      <a:avLst/>
                    </a:prstGeom>
                    <a:noFill/>
                  </pic:spPr>
                </pic:pic>
              </a:graphicData>
            </a:graphic>
          </wp:inline>
        </w:drawing>
      </w:r>
      <w:r w:rsidR="00B82D70" w:rsidRPr="005F6A99">
        <w:rPr>
          <w:color w:val="864A04" w:themeColor="accent2" w:themeShade="80"/>
        </w:rPr>
        <w:br w:type="page"/>
      </w:r>
    </w:p>
    <w:p w14:paraId="54F88A60" w14:textId="4D96C44B" w:rsidR="00B82D70" w:rsidRPr="005F6A99" w:rsidRDefault="0070010C" w:rsidP="00B82D70">
      <w:pPr>
        <w:widowControl w:val="0"/>
        <w:spacing w:before="0" w:after="0"/>
        <w:jc w:val="left"/>
        <w:rPr>
          <w:rFonts w:eastAsia="Calibri" w:cs="Times New Roman"/>
          <w:b/>
          <w:sz w:val="28"/>
          <w:szCs w:val="28"/>
        </w:rPr>
      </w:pPr>
      <w:r w:rsidRPr="005F6A99">
        <w:rPr>
          <w:rFonts w:eastAsia="Calibri" w:cs="Times New Roman"/>
          <w:b/>
        </w:rPr>
        <w:lastRenderedPageBreak/>
        <w:t xml:space="preserve">II). </w:t>
      </w:r>
      <w:r w:rsidR="00B82D70" w:rsidRPr="005F6A99">
        <w:rPr>
          <w:rFonts w:eastAsia="Calibri" w:cs="Times New Roman"/>
          <w:b/>
        </w:rPr>
        <w:t>NOTAS AL ESTADO DE ACTIVIDADES</w:t>
      </w:r>
    </w:p>
    <w:p w14:paraId="5DE17198" w14:textId="77777777" w:rsidR="00B82D70" w:rsidRPr="005F6A99" w:rsidRDefault="00B82D70" w:rsidP="00B82D70">
      <w:pPr>
        <w:spacing w:before="0" w:after="0"/>
        <w:rPr>
          <w:rFonts w:eastAsia="Calibri" w:cs="Times New Roman"/>
          <w:color w:val="000000"/>
          <w:sz w:val="22"/>
          <w:szCs w:val="22"/>
        </w:rPr>
      </w:pPr>
    </w:p>
    <w:p w14:paraId="2CCFC390" w14:textId="0C3B05F0" w:rsidR="00B82D70" w:rsidRPr="005F6A99" w:rsidRDefault="00B82D70" w:rsidP="00B82D70">
      <w:pPr>
        <w:spacing w:before="0" w:after="0"/>
        <w:rPr>
          <w:rFonts w:eastAsia="Calibri" w:cs="Times New Roman"/>
          <w:color w:val="000000"/>
          <w:sz w:val="22"/>
          <w:szCs w:val="22"/>
        </w:rPr>
      </w:pPr>
      <w:r w:rsidRPr="005F6A99">
        <w:rPr>
          <w:rFonts w:eastAsia="Calibri" w:cs="Times New Roman"/>
          <w:color w:val="000000"/>
          <w:sz w:val="22"/>
          <w:szCs w:val="22"/>
        </w:rPr>
        <w:t xml:space="preserve">Este estado financiero, muestra dos grandes agregados representados por los </w:t>
      </w:r>
      <w:r w:rsidRPr="005F6A99">
        <w:rPr>
          <w:rFonts w:eastAsia="Calibri" w:cs="Times New Roman"/>
          <w:b/>
          <w:color w:val="000000"/>
          <w:sz w:val="22"/>
          <w:szCs w:val="22"/>
        </w:rPr>
        <w:t>ingresos y otros beneficios</w:t>
      </w:r>
      <w:r w:rsidRPr="005F6A99">
        <w:rPr>
          <w:rFonts w:eastAsia="Calibri" w:cs="Times New Roman"/>
          <w:color w:val="000000"/>
          <w:sz w:val="22"/>
          <w:szCs w:val="22"/>
        </w:rPr>
        <w:t xml:space="preserve">, así como los </w:t>
      </w:r>
      <w:r w:rsidRPr="005F6A99">
        <w:rPr>
          <w:rFonts w:eastAsia="Calibri" w:cs="Times New Roman"/>
          <w:b/>
          <w:color w:val="000000"/>
          <w:sz w:val="22"/>
          <w:szCs w:val="22"/>
        </w:rPr>
        <w:t>gastos y otras pérdidas</w:t>
      </w:r>
      <w:r w:rsidRPr="005F6A99">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sidR="009D4CDC" w:rsidRPr="005F6A99">
        <w:rPr>
          <w:rFonts w:eastAsia="Calibri" w:cs="Times New Roman"/>
          <w:color w:val="000000"/>
          <w:sz w:val="22"/>
          <w:szCs w:val="22"/>
        </w:rPr>
        <w:t>2</w:t>
      </w:r>
      <w:r w:rsidRPr="005F6A99">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sidR="00DC4056" w:rsidRPr="005F6A99">
        <w:rPr>
          <w:rFonts w:eastAsia="Calibri" w:cs="Times New Roman"/>
          <w:color w:val="000000"/>
          <w:sz w:val="22"/>
          <w:szCs w:val="22"/>
        </w:rPr>
        <w:t>8</w:t>
      </w:r>
      <w:r w:rsidRPr="005F6A99">
        <w:rPr>
          <w:rFonts w:eastAsia="Calibri" w:cs="Times New Roman"/>
          <w:color w:val="000000"/>
          <w:sz w:val="22"/>
          <w:szCs w:val="22"/>
        </w:rPr>
        <w:t xml:space="preserve"> mil </w:t>
      </w:r>
      <w:r w:rsidR="0070010C" w:rsidRPr="005F6A99">
        <w:rPr>
          <w:rFonts w:eastAsia="Calibri" w:cs="Times New Roman"/>
          <w:color w:val="000000"/>
          <w:sz w:val="22"/>
          <w:szCs w:val="22"/>
        </w:rPr>
        <w:t>727</w:t>
      </w:r>
      <w:r w:rsidR="004C6C20" w:rsidRPr="005F6A99">
        <w:rPr>
          <w:rFonts w:eastAsia="Calibri" w:cs="Times New Roman"/>
          <w:color w:val="000000"/>
          <w:sz w:val="22"/>
          <w:szCs w:val="22"/>
        </w:rPr>
        <w:t xml:space="preserve"> </w:t>
      </w:r>
      <w:r w:rsidRPr="005F6A99">
        <w:rPr>
          <w:rFonts w:eastAsia="Calibri" w:cs="Times New Roman"/>
          <w:color w:val="000000"/>
          <w:sz w:val="22"/>
          <w:szCs w:val="22"/>
        </w:rPr>
        <w:t xml:space="preserve">millones </w:t>
      </w:r>
      <w:r w:rsidR="0070010C" w:rsidRPr="005F6A99">
        <w:rPr>
          <w:rFonts w:eastAsia="Calibri" w:cs="Times New Roman"/>
          <w:color w:val="000000"/>
          <w:sz w:val="22"/>
          <w:szCs w:val="22"/>
        </w:rPr>
        <w:t>304</w:t>
      </w:r>
      <w:r w:rsidRPr="005F6A99">
        <w:rPr>
          <w:rFonts w:eastAsia="Calibri" w:cs="Times New Roman"/>
          <w:color w:val="000000"/>
          <w:sz w:val="22"/>
          <w:szCs w:val="22"/>
        </w:rPr>
        <w:t xml:space="preserve"> mil </w:t>
      </w:r>
      <w:r w:rsidR="0070010C" w:rsidRPr="005F6A99">
        <w:rPr>
          <w:rFonts w:eastAsia="Calibri" w:cs="Times New Roman"/>
          <w:color w:val="000000"/>
          <w:sz w:val="22"/>
          <w:szCs w:val="22"/>
        </w:rPr>
        <w:t>721</w:t>
      </w:r>
      <w:r w:rsidRPr="005F6A99">
        <w:rPr>
          <w:rFonts w:eastAsia="Calibri" w:cs="Times New Roman"/>
          <w:color w:val="000000"/>
          <w:sz w:val="22"/>
          <w:szCs w:val="22"/>
        </w:rPr>
        <w:t xml:space="preserve"> pesos.  </w:t>
      </w:r>
    </w:p>
    <w:p w14:paraId="398E4201" w14:textId="77777777" w:rsidR="00B82D70" w:rsidRPr="005F6A99" w:rsidRDefault="00B82D70" w:rsidP="00B82D70">
      <w:pPr>
        <w:spacing w:before="0" w:after="0"/>
        <w:rPr>
          <w:rFonts w:eastAsia="Calibri" w:cs="Times New Roman"/>
          <w:color w:val="000000"/>
          <w:sz w:val="22"/>
          <w:szCs w:val="22"/>
        </w:rPr>
      </w:pPr>
    </w:p>
    <w:p w14:paraId="21870046" w14:textId="674DED97" w:rsidR="00B82D70" w:rsidRPr="005F6A99" w:rsidRDefault="00B82D70" w:rsidP="00B82D70">
      <w:pPr>
        <w:spacing w:before="0" w:after="0"/>
        <w:rPr>
          <w:rFonts w:ascii="Arial" w:hAnsi="Arial" w:cs="Arial"/>
          <w:sz w:val="22"/>
          <w:szCs w:val="22"/>
        </w:rPr>
      </w:pPr>
      <w:r w:rsidRPr="005F6A99">
        <w:rPr>
          <w:rFonts w:eastAsia="Calibri" w:cs="Times New Roman"/>
          <w:color w:val="000000"/>
          <w:sz w:val="22"/>
          <w:szCs w:val="22"/>
        </w:rPr>
        <w:t xml:space="preserve">Los ingresos obtenidos al cierre del </w:t>
      </w:r>
      <w:r w:rsidR="00DF0B25" w:rsidRPr="005F6A99">
        <w:rPr>
          <w:rFonts w:eastAsia="Calibri" w:cs="Times New Roman"/>
          <w:color w:val="000000"/>
          <w:sz w:val="22"/>
          <w:szCs w:val="22"/>
        </w:rPr>
        <w:t>tercer</w:t>
      </w:r>
      <w:r w:rsidRPr="005F6A99">
        <w:rPr>
          <w:rFonts w:eastAsia="Calibri" w:cs="Times New Roman"/>
          <w:color w:val="000000"/>
          <w:sz w:val="22"/>
          <w:szCs w:val="22"/>
        </w:rPr>
        <w:t xml:space="preserve"> trimestre que se informa, ascienden a </w:t>
      </w:r>
      <w:r w:rsidR="00DF0B25" w:rsidRPr="005F6A99">
        <w:rPr>
          <w:rFonts w:eastAsia="Calibri" w:cs="Times New Roman"/>
          <w:color w:val="000000"/>
          <w:sz w:val="22"/>
          <w:szCs w:val="22"/>
        </w:rPr>
        <w:t>66</w:t>
      </w:r>
      <w:r w:rsidRPr="005F6A99">
        <w:rPr>
          <w:rFonts w:eastAsia="Calibri" w:cs="Times New Roman"/>
          <w:color w:val="000000"/>
          <w:sz w:val="22"/>
          <w:szCs w:val="22"/>
        </w:rPr>
        <w:t xml:space="preserve"> mil </w:t>
      </w:r>
      <w:r w:rsidR="00DF0B25" w:rsidRPr="005F6A99">
        <w:rPr>
          <w:rFonts w:eastAsia="Calibri" w:cs="Times New Roman"/>
          <w:color w:val="000000"/>
          <w:sz w:val="22"/>
          <w:szCs w:val="22"/>
        </w:rPr>
        <w:t>536</w:t>
      </w:r>
      <w:r w:rsidRPr="005F6A99">
        <w:rPr>
          <w:rFonts w:eastAsia="Calibri" w:cs="Times New Roman"/>
          <w:color w:val="000000"/>
          <w:sz w:val="22"/>
          <w:szCs w:val="22"/>
        </w:rPr>
        <w:t xml:space="preserve"> millones </w:t>
      </w:r>
      <w:r w:rsidR="00DF0B25" w:rsidRPr="005F6A99">
        <w:rPr>
          <w:rFonts w:eastAsia="Calibri" w:cs="Times New Roman"/>
          <w:color w:val="000000"/>
          <w:sz w:val="22"/>
          <w:szCs w:val="22"/>
        </w:rPr>
        <w:t>363</w:t>
      </w:r>
      <w:r w:rsidRPr="005F6A99">
        <w:rPr>
          <w:rFonts w:eastAsia="Calibri" w:cs="Times New Roman"/>
          <w:color w:val="000000"/>
          <w:sz w:val="22"/>
          <w:szCs w:val="22"/>
        </w:rPr>
        <w:t xml:space="preserve"> mil </w:t>
      </w:r>
      <w:r w:rsidR="008F13DC" w:rsidRPr="005F6A99">
        <w:rPr>
          <w:rFonts w:eastAsia="Calibri" w:cs="Times New Roman"/>
          <w:color w:val="000000"/>
          <w:sz w:val="22"/>
          <w:szCs w:val="22"/>
        </w:rPr>
        <w:t>8</w:t>
      </w:r>
      <w:r w:rsidR="00DF0B25" w:rsidRPr="005F6A99">
        <w:rPr>
          <w:rFonts w:eastAsia="Calibri" w:cs="Times New Roman"/>
          <w:color w:val="000000"/>
          <w:sz w:val="22"/>
          <w:szCs w:val="22"/>
        </w:rPr>
        <w:t>25</w:t>
      </w:r>
      <w:r w:rsidRPr="005F6A99">
        <w:rPr>
          <w:rFonts w:eastAsia="Calibri" w:cs="Times New Roman"/>
          <w:color w:val="000000"/>
          <w:sz w:val="22"/>
          <w:szCs w:val="22"/>
        </w:rPr>
        <w:t xml:space="preserve"> pesos, que se integran principalmente por participaciones, aportaciones, transferencias, asignaciones, subsidios y otras ayudas que representan el </w:t>
      </w:r>
      <w:r w:rsidR="008F13DC" w:rsidRPr="005F6A99">
        <w:rPr>
          <w:rFonts w:eastAsia="Calibri" w:cs="Times New Roman"/>
          <w:color w:val="000000"/>
          <w:sz w:val="22"/>
          <w:szCs w:val="22"/>
        </w:rPr>
        <w:t>91.</w:t>
      </w:r>
      <w:r w:rsidR="00DF0B25" w:rsidRPr="005F6A99">
        <w:rPr>
          <w:rFonts w:eastAsia="Calibri" w:cs="Times New Roman"/>
          <w:color w:val="000000"/>
          <w:sz w:val="22"/>
          <w:szCs w:val="22"/>
        </w:rPr>
        <w:t>81</w:t>
      </w:r>
      <w:r w:rsidRPr="005F6A99">
        <w:rPr>
          <w:rFonts w:eastAsia="Calibri" w:cs="Times New Roman"/>
          <w:color w:val="000000"/>
          <w:sz w:val="22"/>
          <w:szCs w:val="22"/>
        </w:rPr>
        <w:t xml:space="preserve">% </w:t>
      </w:r>
      <w:r w:rsidRPr="005F6A99">
        <w:rPr>
          <w:rFonts w:eastAsia="Calibri" w:cs="Times New Roman"/>
          <w:sz w:val="22"/>
          <w:szCs w:val="22"/>
        </w:rPr>
        <w:t xml:space="preserve">así como ingresos de la gestión que representan el </w:t>
      </w:r>
      <w:r w:rsidR="008F13DC" w:rsidRPr="005F6A99">
        <w:rPr>
          <w:rFonts w:eastAsia="Calibri" w:cs="Times New Roman"/>
          <w:sz w:val="22"/>
          <w:szCs w:val="22"/>
        </w:rPr>
        <w:t>8.</w:t>
      </w:r>
      <w:r w:rsidR="00DF0B25" w:rsidRPr="005F6A99">
        <w:rPr>
          <w:rFonts w:eastAsia="Calibri" w:cs="Times New Roman"/>
          <w:sz w:val="22"/>
          <w:szCs w:val="22"/>
        </w:rPr>
        <w:t>15</w:t>
      </w:r>
      <w:r w:rsidRPr="005F6A99">
        <w:rPr>
          <w:rFonts w:eastAsia="Calibri" w:cs="Times New Roman"/>
          <w:sz w:val="22"/>
          <w:szCs w:val="22"/>
        </w:rPr>
        <w:t>% así mismo, otros ingresos y beneficios</w:t>
      </w:r>
      <w:r w:rsidR="00F44A29" w:rsidRPr="005F6A99">
        <w:rPr>
          <w:rFonts w:eastAsia="Calibri" w:cs="Times New Roman"/>
          <w:sz w:val="22"/>
          <w:szCs w:val="22"/>
        </w:rPr>
        <w:t xml:space="preserve"> con un porcentaje de 0.0</w:t>
      </w:r>
      <w:r w:rsidR="008F13DC" w:rsidRPr="005F6A99">
        <w:rPr>
          <w:rFonts w:eastAsia="Calibri" w:cs="Times New Roman"/>
          <w:sz w:val="22"/>
          <w:szCs w:val="22"/>
        </w:rPr>
        <w:t>4</w:t>
      </w:r>
      <w:r w:rsidR="00F44A29" w:rsidRPr="005F6A99">
        <w:rPr>
          <w:rFonts w:eastAsia="Calibri" w:cs="Times New Roman"/>
          <w:sz w:val="22"/>
          <w:szCs w:val="22"/>
        </w:rPr>
        <w:t xml:space="preserve">%, </w:t>
      </w:r>
      <w:r w:rsidRPr="005F6A99">
        <w:rPr>
          <w:rFonts w:eastAsia="Calibri" w:cs="Times New Roman"/>
          <w:sz w:val="22"/>
          <w:szCs w:val="22"/>
        </w:rPr>
        <w:t>como se detalla a continuación:</w:t>
      </w:r>
      <w:r w:rsidRPr="005F6A99">
        <w:rPr>
          <w:rFonts w:ascii="Arial" w:hAnsi="Arial" w:cs="Arial"/>
          <w:sz w:val="22"/>
          <w:szCs w:val="22"/>
        </w:rPr>
        <w:t xml:space="preserve"> </w:t>
      </w:r>
    </w:p>
    <w:p w14:paraId="53224416" w14:textId="77777777" w:rsidR="00B82D70" w:rsidRPr="005F6A99" w:rsidRDefault="00B82D70" w:rsidP="00B82D70">
      <w:pPr>
        <w:spacing w:before="0" w:after="0"/>
        <w:rPr>
          <w:rFonts w:ascii="Arial" w:eastAsia="Times New Roman" w:hAnsi="Arial" w:cs="Arial"/>
          <w:color w:val="000000"/>
          <w:sz w:val="22"/>
          <w:szCs w:val="22"/>
          <w:lang w:eastAsia="es-MX"/>
        </w:rPr>
      </w:pPr>
    </w:p>
    <w:p w14:paraId="649AE4D8" w14:textId="234564AC" w:rsidR="00B82D70" w:rsidRPr="005F6A99" w:rsidRDefault="00DF0B25" w:rsidP="00B82D70">
      <w:pPr>
        <w:spacing w:before="0" w:after="0"/>
        <w:jc w:val="center"/>
        <w:rPr>
          <w:rFonts w:eastAsia="Calibri" w:cs="Times New Roman"/>
          <w:b/>
          <w:color w:val="833C0B"/>
          <w:sz w:val="22"/>
          <w:szCs w:val="22"/>
        </w:rPr>
      </w:pPr>
      <w:r w:rsidRPr="005F6A99">
        <w:rPr>
          <w:noProof/>
          <w:lang w:val="es-MX" w:eastAsia="es-MX"/>
        </w:rPr>
        <w:drawing>
          <wp:inline distT="0" distB="0" distL="0" distR="0" wp14:anchorId="229C7704" wp14:editId="3EF9AB62">
            <wp:extent cx="6351270" cy="115189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1270" cy="1151890"/>
                    </a:xfrm>
                    <a:prstGeom prst="rect">
                      <a:avLst/>
                    </a:prstGeom>
                    <a:noFill/>
                    <a:ln>
                      <a:noFill/>
                    </a:ln>
                  </pic:spPr>
                </pic:pic>
              </a:graphicData>
            </a:graphic>
          </wp:inline>
        </w:drawing>
      </w:r>
    </w:p>
    <w:p w14:paraId="254A1F0B" w14:textId="77777777" w:rsidR="00B82D70" w:rsidRPr="005F6A99" w:rsidRDefault="00B82D70" w:rsidP="00B82D70">
      <w:pPr>
        <w:rPr>
          <w:rFonts w:eastAsia="Calibri" w:cs="Times New Roman"/>
          <w:color w:val="000000"/>
          <w:sz w:val="22"/>
          <w:szCs w:val="22"/>
        </w:rPr>
      </w:pPr>
    </w:p>
    <w:p w14:paraId="055FF286" w14:textId="5C6507EA" w:rsidR="00B82D70" w:rsidRPr="005F6A99" w:rsidRDefault="00B82D70" w:rsidP="00B82D70">
      <w:r w:rsidRPr="005F6A99">
        <w:rPr>
          <w:rFonts w:eastAsia="Calibri" w:cs="Times New Roman"/>
          <w:sz w:val="22"/>
          <w:szCs w:val="22"/>
        </w:rPr>
        <w:t xml:space="preserve">En relación </w:t>
      </w:r>
      <w:r w:rsidR="00C9281F" w:rsidRPr="005F6A99">
        <w:rPr>
          <w:rFonts w:eastAsia="Calibri" w:cs="Times New Roman"/>
          <w:sz w:val="22"/>
          <w:szCs w:val="22"/>
        </w:rPr>
        <w:t>con</w:t>
      </w:r>
      <w:r w:rsidRPr="005F6A99">
        <w:rPr>
          <w:rFonts w:eastAsia="Calibri" w:cs="Times New Roman"/>
          <w:sz w:val="22"/>
          <w:szCs w:val="22"/>
        </w:rPr>
        <w:t xml:space="preserve"> los ingresos </w:t>
      </w:r>
      <w:r w:rsidR="00DF0B25" w:rsidRPr="005F6A99">
        <w:rPr>
          <w:rFonts w:eastAsia="Calibri" w:cs="Times New Roman"/>
          <w:sz w:val="22"/>
          <w:szCs w:val="22"/>
        </w:rPr>
        <w:t>obtenidos</w:t>
      </w:r>
      <w:r w:rsidRPr="005F6A99">
        <w:rPr>
          <w:rFonts w:eastAsia="Calibri" w:cs="Times New Roman"/>
          <w:sz w:val="22"/>
          <w:szCs w:val="22"/>
        </w:rPr>
        <w:t xml:space="preserve">, se encuentra en forma específica un análisis por concepto, en el apartado </w:t>
      </w:r>
      <w:r w:rsidRPr="005F6A99">
        <w:rPr>
          <w:b/>
          <w:bCs/>
        </w:rPr>
        <w:t>II.1.c ANALISIS DE INGRESOS</w:t>
      </w:r>
      <w:r w:rsidR="00DF0B25" w:rsidRPr="005F6A99">
        <w:rPr>
          <w:b/>
          <w:bCs/>
        </w:rPr>
        <w:t xml:space="preserve">, </w:t>
      </w:r>
      <w:r w:rsidR="00DF0B25" w:rsidRPr="005F6A99">
        <w:t>por lo que en este apartado se informa de manera general</w:t>
      </w:r>
    </w:p>
    <w:p w14:paraId="06FA0E0A" w14:textId="41F94271" w:rsidR="00DF0B25" w:rsidRPr="005F6A99" w:rsidRDefault="00DF0B25" w:rsidP="00B82D70">
      <w:pPr>
        <w:rPr>
          <w:b/>
          <w:bCs/>
        </w:rPr>
      </w:pPr>
    </w:p>
    <w:p w14:paraId="1276B45B" w14:textId="72F896F2" w:rsidR="00DF0B25" w:rsidRPr="005F6A99" w:rsidRDefault="00DF0B25" w:rsidP="00B82D70">
      <w:pPr>
        <w:rPr>
          <w:b/>
          <w:bCs/>
        </w:rPr>
      </w:pPr>
      <w:r w:rsidRPr="005F6A99">
        <w:rPr>
          <w:b/>
          <w:bCs/>
        </w:rPr>
        <w:lastRenderedPageBreak/>
        <w:t>1.- INGRESOS DE GESTIÓN</w:t>
      </w:r>
    </w:p>
    <w:p w14:paraId="45C3BB86" w14:textId="4813B01D" w:rsidR="00DF0B25" w:rsidRPr="005F6A99" w:rsidRDefault="00DF0B25" w:rsidP="00B82D70">
      <w:r w:rsidRPr="005F6A99">
        <w:t>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5 mil 422 millones 754 mil 803 pesos, como sigue:</w:t>
      </w:r>
    </w:p>
    <w:p w14:paraId="4B665322" w14:textId="5B69435D" w:rsidR="000D1882" w:rsidRPr="005F6A99" w:rsidRDefault="00DF0B25" w:rsidP="00B82D70">
      <w:pPr>
        <w:rPr>
          <w:rFonts w:eastAsia="Calibri" w:cs="Times New Roman"/>
          <w:sz w:val="22"/>
          <w:szCs w:val="22"/>
        </w:rPr>
      </w:pPr>
      <w:r w:rsidRPr="005F6A99">
        <w:rPr>
          <w:noProof/>
          <w:lang w:val="es-MX" w:eastAsia="es-MX"/>
        </w:rPr>
        <w:drawing>
          <wp:inline distT="0" distB="0" distL="0" distR="0" wp14:anchorId="62211067" wp14:editId="58BF3ED8">
            <wp:extent cx="6351270" cy="1635760"/>
            <wp:effectExtent l="0" t="0" r="0" b="254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1270" cy="1635760"/>
                    </a:xfrm>
                    <a:prstGeom prst="rect">
                      <a:avLst/>
                    </a:prstGeom>
                    <a:noFill/>
                    <a:ln>
                      <a:noFill/>
                    </a:ln>
                  </pic:spPr>
                </pic:pic>
              </a:graphicData>
            </a:graphic>
          </wp:inline>
        </w:drawing>
      </w:r>
    </w:p>
    <w:p w14:paraId="53F43527" w14:textId="38F60772" w:rsidR="00DF0B25" w:rsidRPr="005F6A99" w:rsidRDefault="00495C9B" w:rsidP="00DF0B25">
      <w:pPr>
        <w:rPr>
          <w:b/>
          <w:bCs/>
        </w:rPr>
      </w:pPr>
      <w:r w:rsidRPr="005F6A99">
        <w:rPr>
          <w:b/>
          <w:bCs/>
        </w:rPr>
        <w:t>2</w:t>
      </w:r>
      <w:r w:rsidR="00DF0B25" w:rsidRPr="005F6A99">
        <w:rPr>
          <w:b/>
          <w:bCs/>
        </w:rPr>
        <w:t>.- PARTICIPACIONES, APORTACIONES, CONVENIOS, INCENTIVOS DERIVADOS DE LA COLABORACIÓN FISCAL, FONDOS DISTINTOS DE APORTACIONES</w:t>
      </w:r>
      <w:r w:rsidRPr="005F6A99">
        <w:rPr>
          <w:b/>
          <w:bCs/>
        </w:rPr>
        <w:t>, TRANSFERENCIAS, ASIGNACIONES, SUBSIDIOS Y SUBVENCIONES, Y PENSIONES Y JUBILACIONES.</w:t>
      </w:r>
    </w:p>
    <w:p w14:paraId="4CE7B96C" w14:textId="0A9A8631" w:rsidR="00B82D70" w:rsidRPr="005F6A99" w:rsidRDefault="00B82D70" w:rsidP="00B82D70">
      <w:pPr>
        <w:rPr>
          <w:rFonts w:eastAsia="Calibri" w:cs="Times New Roman"/>
          <w:color w:val="000000"/>
          <w:sz w:val="22"/>
          <w:szCs w:val="22"/>
        </w:rPr>
      </w:pPr>
    </w:p>
    <w:p w14:paraId="4AF34D6A" w14:textId="0CAE5C9F" w:rsidR="00495C9B" w:rsidRPr="005F6A99" w:rsidRDefault="00495C9B" w:rsidP="00B82D70">
      <w:r w:rsidRPr="005F6A99">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5F6A99">
        <w:t>están armonizados en los rubros del Clasificador por Rubro de Ingresos (CRI), se informan los montos totales obtenidos por 61 mil 87 millones 694 mil 406 pesos, como sigue:</w:t>
      </w:r>
    </w:p>
    <w:p w14:paraId="26191493" w14:textId="0E6F6260" w:rsidR="00495C9B" w:rsidRPr="005F6A99" w:rsidRDefault="00C8238F" w:rsidP="00C8238F">
      <w:pPr>
        <w:jc w:val="center"/>
      </w:pPr>
      <w:r w:rsidRPr="005F6A99">
        <w:rPr>
          <w:noProof/>
          <w:lang w:val="es-MX" w:eastAsia="es-MX"/>
        </w:rPr>
        <w:lastRenderedPageBreak/>
        <w:drawing>
          <wp:inline distT="0" distB="0" distL="0" distR="0" wp14:anchorId="08C76C1D" wp14:editId="6A3500DF">
            <wp:extent cx="5020310" cy="983615"/>
            <wp:effectExtent l="0" t="0" r="8890" b="698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0310" cy="983615"/>
                    </a:xfrm>
                    <a:prstGeom prst="rect">
                      <a:avLst/>
                    </a:prstGeom>
                    <a:noFill/>
                    <a:ln>
                      <a:noFill/>
                    </a:ln>
                  </pic:spPr>
                </pic:pic>
              </a:graphicData>
            </a:graphic>
          </wp:inline>
        </w:drawing>
      </w:r>
    </w:p>
    <w:p w14:paraId="2A0B86F6" w14:textId="77777777" w:rsidR="00C8238F" w:rsidRPr="005F6A99" w:rsidRDefault="00C8238F" w:rsidP="00B82D70">
      <w:pPr>
        <w:rPr>
          <w:rFonts w:eastAsia="Calibri" w:cs="Times New Roman"/>
          <w:color w:val="000000"/>
          <w:sz w:val="22"/>
          <w:szCs w:val="22"/>
        </w:rPr>
      </w:pPr>
    </w:p>
    <w:p w14:paraId="7FC39519" w14:textId="77777777" w:rsidR="00C8238F" w:rsidRPr="005F6A99" w:rsidRDefault="00C8238F" w:rsidP="00B82D70">
      <w:pPr>
        <w:rPr>
          <w:rFonts w:eastAsia="Calibri" w:cs="Times New Roman"/>
          <w:b/>
          <w:bCs/>
          <w:color w:val="000000"/>
          <w:sz w:val="22"/>
          <w:szCs w:val="22"/>
        </w:rPr>
      </w:pPr>
      <w:r w:rsidRPr="005F6A99">
        <w:rPr>
          <w:rFonts w:eastAsia="Calibri" w:cs="Times New Roman"/>
          <w:b/>
          <w:bCs/>
          <w:color w:val="000000"/>
          <w:sz w:val="22"/>
          <w:szCs w:val="22"/>
        </w:rPr>
        <w:t>3. OTROS INGRESOS Y BENEFICIOS</w:t>
      </w:r>
    </w:p>
    <w:p w14:paraId="59AAB20F" w14:textId="523E01C2" w:rsidR="00C8238F" w:rsidRPr="005F6A99" w:rsidRDefault="00C8238F" w:rsidP="00B82D70">
      <w:pPr>
        <w:rPr>
          <w:rFonts w:eastAsia="Calibri" w:cs="Times New Roman"/>
          <w:b/>
          <w:bCs/>
          <w:color w:val="000000"/>
          <w:sz w:val="22"/>
          <w:szCs w:val="22"/>
        </w:rPr>
      </w:pPr>
      <w:r w:rsidRPr="005F6A99">
        <w:rPr>
          <w:rFonts w:eastAsia="Calibri" w:cs="Times New Roman"/>
          <w:b/>
          <w:bCs/>
          <w:color w:val="000000"/>
          <w:sz w:val="22"/>
          <w:szCs w:val="22"/>
        </w:rPr>
        <w:t>Se compone de los rubros de ingresos financieros, incremento por variación de inventarios, disminución del exceso por pérdida o Deterior u obsolescencia, disminución de excesos de provisiones y de otros ingresos y beneficios varios y se informan los montos totales como sigue:</w:t>
      </w:r>
    </w:p>
    <w:p w14:paraId="02CD0B0A" w14:textId="18DC3084" w:rsidR="00C8238F" w:rsidRPr="005F6A99" w:rsidRDefault="00C33AB2" w:rsidP="00C33AB2">
      <w:pPr>
        <w:jc w:val="center"/>
        <w:rPr>
          <w:rFonts w:eastAsia="Calibri" w:cs="Times New Roman"/>
          <w:b/>
          <w:bCs/>
          <w:color w:val="000000"/>
          <w:sz w:val="22"/>
          <w:szCs w:val="22"/>
        </w:rPr>
      </w:pPr>
      <w:r w:rsidRPr="005F6A99">
        <w:rPr>
          <w:noProof/>
          <w:lang w:val="es-MX" w:eastAsia="es-MX"/>
        </w:rPr>
        <w:drawing>
          <wp:inline distT="0" distB="0" distL="0" distR="0" wp14:anchorId="57526296" wp14:editId="3E1A7A8C">
            <wp:extent cx="5020310" cy="983615"/>
            <wp:effectExtent l="0" t="0" r="8890" b="698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0310" cy="983615"/>
                    </a:xfrm>
                    <a:prstGeom prst="rect">
                      <a:avLst/>
                    </a:prstGeom>
                    <a:noFill/>
                    <a:ln>
                      <a:noFill/>
                    </a:ln>
                  </pic:spPr>
                </pic:pic>
              </a:graphicData>
            </a:graphic>
          </wp:inline>
        </w:drawing>
      </w:r>
    </w:p>
    <w:p w14:paraId="67D39E63" w14:textId="7C23B70D" w:rsidR="00C8238F" w:rsidRPr="005F6A99" w:rsidRDefault="00C33AB2" w:rsidP="00B82D70">
      <w:pPr>
        <w:rPr>
          <w:rFonts w:eastAsia="Calibri" w:cs="Times New Roman"/>
          <w:b/>
          <w:bCs/>
          <w:color w:val="000000"/>
          <w:sz w:val="22"/>
          <w:szCs w:val="22"/>
        </w:rPr>
      </w:pPr>
      <w:r w:rsidRPr="005F6A99">
        <w:rPr>
          <w:rFonts w:eastAsia="Calibri" w:cs="Times New Roman"/>
          <w:b/>
          <w:bCs/>
          <w:color w:val="000000"/>
          <w:sz w:val="22"/>
          <w:szCs w:val="22"/>
        </w:rPr>
        <w:t>GASTOS Y OTRAS PÉRDIDAS</w:t>
      </w:r>
    </w:p>
    <w:p w14:paraId="70C14DA8" w14:textId="22220924" w:rsidR="00B82D70" w:rsidRPr="005F6A99" w:rsidRDefault="00B82D70" w:rsidP="00B82D70">
      <w:pPr>
        <w:rPr>
          <w:rFonts w:ascii="Arial" w:hAnsi="Arial" w:cs="Arial"/>
          <w:color w:val="000000"/>
          <w:sz w:val="22"/>
          <w:szCs w:val="22"/>
        </w:rPr>
      </w:pPr>
      <w:r w:rsidRPr="005F6A99">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sidR="00C33AB2" w:rsidRPr="005F6A99">
        <w:rPr>
          <w:rFonts w:eastAsia="Calibri" w:cs="Times New Roman"/>
          <w:color w:val="000000"/>
          <w:sz w:val="22"/>
          <w:szCs w:val="22"/>
        </w:rPr>
        <w:t>5</w:t>
      </w:r>
      <w:r w:rsidR="00075D38" w:rsidRPr="005F6A99">
        <w:rPr>
          <w:rFonts w:eastAsia="Calibri" w:cs="Times New Roman"/>
          <w:color w:val="000000"/>
          <w:sz w:val="22"/>
          <w:szCs w:val="22"/>
        </w:rPr>
        <w:t>7</w:t>
      </w:r>
      <w:r w:rsidRPr="005F6A99">
        <w:rPr>
          <w:rFonts w:eastAsia="Calibri" w:cs="Times New Roman"/>
          <w:color w:val="000000"/>
          <w:sz w:val="22"/>
          <w:szCs w:val="22"/>
        </w:rPr>
        <w:t xml:space="preserve"> mil </w:t>
      </w:r>
      <w:r w:rsidR="00C33AB2" w:rsidRPr="005F6A99">
        <w:rPr>
          <w:rFonts w:eastAsia="Calibri" w:cs="Times New Roman"/>
          <w:color w:val="000000"/>
          <w:sz w:val="22"/>
          <w:szCs w:val="22"/>
        </w:rPr>
        <w:t>809</w:t>
      </w:r>
      <w:r w:rsidRPr="005F6A99">
        <w:rPr>
          <w:rFonts w:eastAsia="Calibri" w:cs="Times New Roman"/>
          <w:color w:val="000000"/>
          <w:sz w:val="22"/>
          <w:szCs w:val="22"/>
        </w:rPr>
        <w:t xml:space="preserve"> millones </w:t>
      </w:r>
      <w:r w:rsidR="00C33AB2" w:rsidRPr="005F6A99">
        <w:rPr>
          <w:rFonts w:eastAsia="Calibri" w:cs="Times New Roman"/>
          <w:color w:val="000000"/>
          <w:sz w:val="22"/>
          <w:szCs w:val="22"/>
        </w:rPr>
        <w:t>59</w:t>
      </w:r>
      <w:r w:rsidRPr="005F6A99">
        <w:rPr>
          <w:rFonts w:eastAsia="Calibri" w:cs="Times New Roman"/>
          <w:color w:val="000000"/>
          <w:sz w:val="22"/>
          <w:szCs w:val="22"/>
        </w:rPr>
        <w:t xml:space="preserve"> mil </w:t>
      </w:r>
      <w:r w:rsidR="00C33AB2" w:rsidRPr="005F6A99">
        <w:rPr>
          <w:rFonts w:eastAsia="Calibri" w:cs="Times New Roman"/>
          <w:color w:val="000000"/>
          <w:sz w:val="22"/>
          <w:szCs w:val="22"/>
        </w:rPr>
        <w:t>104</w:t>
      </w:r>
      <w:r w:rsidRPr="005F6A99">
        <w:rPr>
          <w:rFonts w:eastAsia="Calibri" w:cs="Times New Roman"/>
          <w:color w:val="000000"/>
          <w:sz w:val="22"/>
          <w:szCs w:val="22"/>
        </w:rPr>
        <w:t xml:space="preserve"> pesos como se detalla enseguida:</w:t>
      </w:r>
      <w:r w:rsidRPr="005F6A99">
        <w:rPr>
          <w:rFonts w:ascii="Arial" w:hAnsi="Arial" w:cs="Arial"/>
          <w:color w:val="000000"/>
          <w:sz w:val="22"/>
          <w:szCs w:val="22"/>
        </w:rPr>
        <w:t xml:space="preserve"> </w:t>
      </w:r>
    </w:p>
    <w:p w14:paraId="3E2233E3" w14:textId="259105F2" w:rsidR="00B82D70" w:rsidRPr="005F6A99" w:rsidRDefault="00C33AB2" w:rsidP="00075D38">
      <w:pPr>
        <w:rPr>
          <w:rFonts w:eastAsia="Calibri" w:cs="Times New Roman"/>
          <w:color w:val="000000"/>
          <w:sz w:val="22"/>
          <w:szCs w:val="22"/>
        </w:rPr>
      </w:pPr>
      <w:r w:rsidRPr="005F6A99">
        <w:rPr>
          <w:noProof/>
          <w:lang w:val="es-MX" w:eastAsia="es-MX"/>
        </w:rPr>
        <w:drawing>
          <wp:inline distT="0" distB="0" distL="0" distR="0" wp14:anchorId="304275C5" wp14:editId="6403C1C3">
            <wp:extent cx="6351270" cy="1958340"/>
            <wp:effectExtent l="0" t="0" r="0" b="381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270" cy="1958340"/>
                    </a:xfrm>
                    <a:prstGeom prst="rect">
                      <a:avLst/>
                    </a:prstGeom>
                    <a:noFill/>
                    <a:ln>
                      <a:noFill/>
                    </a:ln>
                  </pic:spPr>
                </pic:pic>
              </a:graphicData>
            </a:graphic>
          </wp:inline>
        </w:drawing>
      </w:r>
    </w:p>
    <w:p w14:paraId="07715D8B" w14:textId="1C094505" w:rsidR="00B82D70" w:rsidRPr="005F6A99" w:rsidRDefault="00B82D70" w:rsidP="005C4CDB">
      <w:pPr>
        <w:spacing w:before="120" w:after="120"/>
        <w:rPr>
          <w:rFonts w:eastAsia="Calibri" w:cs="Times New Roman"/>
          <w:sz w:val="22"/>
          <w:szCs w:val="22"/>
        </w:rPr>
      </w:pPr>
      <w:r w:rsidRPr="005F6A99">
        <w:rPr>
          <w:rFonts w:eastAsia="Calibri" w:cs="Times New Roman"/>
          <w:sz w:val="22"/>
          <w:szCs w:val="22"/>
        </w:rPr>
        <w:lastRenderedPageBreak/>
        <w:t>A continuación, se explican aquellas cuentas del gasto que en lo individual representan el 10% o más del gasto total, siendo las más representativas las siguientes:</w:t>
      </w:r>
    </w:p>
    <w:p w14:paraId="07320CA2" w14:textId="10DF595A" w:rsidR="00B82D70" w:rsidRPr="005F6A99" w:rsidRDefault="00B82D70" w:rsidP="00B82D70">
      <w:pPr>
        <w:spacing w:before="120" w:after="120"/>
        <w:rPr>
          <w:rFonts w:eastAsia="Calibri" w:cs="Times New Roman"/>
          <w:sz w:val="22"/>
          <w:szCs w:val="22"/>
        </w:rPr>
      </w:pPr>
      <w:r w:rsidRPr="005F6A99">
        <w:rPr>
          <w:rFonts w:eastAsia="Calibri" w:cs="Times New Roman"/>
          <w:b/>
          <w:sz w:val="22"/>
          <w:szCs w:val="22"/>
        </w:rPr>
        <w:t>Servicios Personales</w:t>
      </w:r>
      <w:r w:rsidRPr="005F6A99">
        <w:rPr>
          <w:rFonts w:eastAsia="Calibri" w:cs="Times New Roman"/>
          <w:sz w:val="22"/>
          <w:szCs w:val="22"/>
        </w:rPr>
        <w:t xml:space="preserve">: Representa el </w:t>
      </w:r>
      <w:r w:rsidR="00C33AB2" w:rsidRPr="005F6A99">
        <w:rPr>
          <w:rFonts w:eastAsia="Calibri" w:cs="Times New Roman"/>
          <w:sz w:val="22"/>
          <w:szCs w:val="22"/>
        </w:rPr>
        <w:t>39.55</w:t>
      </w:r>
      <w:r w:rsidRPr="005F6A99">
        <w:rPr>
          <w:rFonts w:eastAsia="Calibri" w:cs="Times New Roman"/>
          <w:sz w:val="22"/>
          <w:szCs w:val="22"/>
        </w:rPr>
        <w:t xml:space="preserve">% y agrupa las remuneraciones del </w:t>
      </w:r>
      <w:r w:rsidRPr="005F6A99">
        <w:rPr>
          <w:rFonts w:eastAsia="Calibri" w:cs="Times New Roman"/>
          <w:bCs/>
          <w:sz w:val="22"/>
          <w:szCs w:val="22"/>
        </w:rPr>
        <w:t>personal</w:t>
      </w:r>
      <w:r w:rsidRPr="005F6A99">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048BE682" w14:textId="08EAFCD6" w:rsidR="00B82D70" w:rsidRPr="005F6A99" w:rsidRDefault="00B82D70" w:rsidP="005C4CDB">
      <w:pPr>
        <w:spacing w:before="120" w:after="120"/>
        <w:rPr>
          <w:rFonts w:eastAsia="Calibri" w:cs="Times New Roman"/>
          <w:sz w:val="22"/>
          <w:szCs w:val="22"/>
        </w:rPr>
      </w:pPr>
      <w:r w:rsidRPr="005F6A99">
        <w:rPr>
          <w:rFonts w:eastAsia="Calibri" w:cs="Times New Roman"/>
          <w:b/>
          <w:sz w:val="22"/>
          <w:szCs w:val="22"/>
        </w:rPr>
        <w:t>Transferencias, Asignaciones, Subsidios y Otras Ayudas:</w:t>
      </w:r>
      <w:r w:rsidRPr="005F6A99">
        <w:rPr>
          <w:rFonts w:eastAsia="Calibri" w:cs="Times New Roman"/>
          <w:sz w:val="22"/>
          <w:szCs w:val="22"/>
        </w:rPr>
        <w:t xml:space="preserve"> El </w:t>
      </w:r>
      <w:r w:rsidR="00C33AB2" w:rsidRPr="005F6A99">
        <w:rPr>
          <w:rFonts w:eastAsia="Calibri" w:cs="Times New Roman"/>
          <w:sz w:val="22"/>
          <w:szCs w:val="22"/>
        </w:rPr>
        <w:t>33.63</w:t>
      </w:r>
      <w:r w:rsidRPr="005F6A99">
        <w:rPr>
          <w:rFonts w:eastAsia="Calibri" w:cs="Times New Roman"/>
          <w:sz w:val="22"/>
          <w:szCs w:val="22"/>
        </w:rPr>
        <w:t>% del gasto que se destinó, a los entes públicos contenidos en el Presupuesto de Egresos con el objeto de sufragar gastos inherentes a sus atribuciones.</w:t>
      </w:r>
    </w:p>
    <w:p w14:paraId="55BF4C9C" w14:textId="400B3EBA" w:rsidR="00B82D70" w:rsidRPr="005F6A99" w:rsidRDefault="00B82D70" w:rsidP="001075F6">
      <w:pPr>
        <w:spacing w:before="0" w:after="0"/>
        <w:rPr>
          <w:rFonts w:eastAsia="Calibri" w:cs="Times New Roman"/>
          <w:sz w:val="22"/>
          <w:szCs w:val="22"/>
        </w:rPr>
      </w:pPr>
      <w:r w:rsidRPr="005F6A99">
        <w:rPr>
          <w:rFonts w:eastAsia="Calibri" w:cs="Times New Roman"/>
          <w:b/>
          <w:sz w:val="22"/>
          <w:szCs w:val="22"/>
        </w:rPr>
        <w:t>Participaciones y Aportaciones</w:t>
      </w:r>
      <w:r w:rsidRPr="005F6A99">
        <w:rPr>
          <w:rFonts w:eastAsia="Calibri" w:cs="Times New Roman"/>
          <w:sz w:val="22"/>
          <w:szCs w:val="22"/>
        </w:rPr>
        <w:t xml:space="preserve">: Las erogaciones con cargo a este apartado, representan el </w:t>
      </w:r>
      <w:r w:rsidR="00D3429F" w:rsidRPr="005F6A99">
        <w:rPr>
          <w:rFonts w:eastAsia="Calibri" w:cs="Times New Roman"/>
          <w:sz w:val="22"/>
          <w:szCs w:val="22"/>
        </w:rPr>
        <w:t>20.</w:t>
      </w:r>
      <w:r w:rsidR="00C33AB2" w:rsidRPr="005F6A99">
        <w:rPr>
          <w:rFonts w:eastAsia="Calibri" w:cs="Times New Roman"/>
          <w:sz w:val="22"/>
          <w:szCs w:val="22"/>
        </w:rPr>
        <w:t>12</w:t>
      </w:r>
      <w:r w:rsidRPr="005F6A99">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31337234" w14:textId="0A7243FC" w:rsidR="001075F6" w:rsidRPr="005F6A99" w:rsidRDefault="001075F6" w:rsidP="001075F6">
      <w:pPr>
        <w:spacing w:before="0" w:after="0"/>
        <w:rPr>
          <w:rFonts w:eastAsia="Calibri" w:cs="Times New Roman"/>
          <w:b/>
          <w:sz w:val="22"/>
          <w:szCs w:val="22"/>
        </w:rPr>
      </w:pPr>
    </w:p>
    <w:p w14:paraId="5CA6C8ED" w14:textId="057716A6" w:rsidR="00C33AB2" w:rsidRPr="005F6A99" w:rsidRDefault="00C33AB2" w:rsidP="001075F6">
      <w:pPr>
        <w:spacing w:before="0" w:after="0"/>
        <w:rPr>
          <w:rFonts w:eastAsia="Calibri" w:cs="Times New Roman"/>
          <w:b/>
          <w:sz w:val="22"/>
          <w:szCs w:val="22"/>
        </w:rPr>
      </w:pPr>
    </w:p>
    <w:p w14:paraId="44AC9D05" w14:textId="2D10A3EE" w:rsidR="00C33AB2" w:rsidRPr="005F6A99" w:rsidRDefault="00C33AB2" w:rsidP="001075F6">
      <w:pPr>
        <w:spacing w:before="0" w:after="0"/>
        <w:rPr>
          <w:rFonts w:eastAsia="Calibri" w:cs="Times New Roman"/>
          <w:b/>
          <w:sz w:val="22"/>
          <w:szCs w:val="22"/>
        </w:rPr>
      </w:pPr>
    </w:p>
    <w:p w14:paraId="726DB680" w14:textId="75FF52EB" w:rsidR="00C33AB2" w:rsidRPr="005F6A99" w:rsidRDefault="00C33AB2" w:rsidP="001075F6">
      <w:pPr>
        <w:spacing w:before="0" w:after="0"/>
        <w:rPr>
          <w:rFonts w:eastAsia="Calibri" w:cs="Times New Roman"/>
          <w:b/>
          <w:sz w:val="22"/>
          <w:szCs w:val="22"/>
        </w:rPr>
      </w:pPr>
    </w:p>
    <w:p w14:paraId="5F1CFC7A" w14:textId="760EBEF1" w:rsidR="00C33AB2" w:rsidRPr="005F6A99" w:rsidRDefault="00C33AB2" w:rsidP="001075F6">
      <w:pPr>
        <w:spacing w:before="0" w:after="0"/>
        <w:rPr>
          <w:rFonts w:eastAsia="Calibri" w:cs="Times New Roman"/>
          <w:b/>
          <w:sz w:val="22"/>
          <w:szCs w:val="22"/>
        </w:rPr>
      </w:pPr>
    </w:p>
    <w:p w14:paraId="2EC00F99" w14:textId="192337BA" w:rsidR="00C33AB2" w:rsidRPr="005F6A99" w:rsidRDefault="00C33AB2" w:rsidP="001075F6">
      <w:pPr>
        <w:spacing w:before="0" w:after="0"/>
        <w:rPr>
          <w:rFonts w:eastAsia="Calibri" w:cs="Times New Roman"/>
          <w:b/>
          <w:sz w:val="22"/>
          <w:szCs w:val="22"/>
        </w:rPr>
      </w:pPr>
    </w:p>
    <w:p w14:paraId="771D978F" w14:textId="454C439B" w:rsidR="00C33AB2" w:rsidRPr="005F6A99" w:rsidRDefault="00C33AB2" w:rsidP="001075F6">
      <w:pPr>
        <w:spacing w:before="0" w:after="0"/>
        <w:rPr>
          <w:rFonts w:eastAsia="Calibri" w:cs="Times New Roman"/>
          <w:b/>
          <w:sz w:val="22"/>
          <w:szCs w:val="22"/>
        </w:rPr>
      </w:pPr>
    </w:p>
    <w:p w14:paraId="19CA787D" w14:textId="077D0B76" w:rsidR="00C33AB2" w:rsidRPr="005F6A99" w:rsidRDefault="00C33AB2" w:rsidP="001075F6">
      <w:pPr>
        <w:spacing w:before="0" w:after="0"/>
        <w:rPr>
          <w:rFonts w:eastAsia="Calibri" w:cs="Times New Roman"/>
          <w:b/>
          <w:sz w:val="22"/>
          <w:szCs w:val="22"/>
        </w:rPr>
      </w:pPr>
    </w:p>
    <w:p w14:paraId="632D5C3F" w14:textId="5E38C76F" w:rsidR="00C33AB2" w:rsidRPr="005F6A99" w:rsidRDefault="00C33AB2" w:rsidP="001075F6">
      <w:pPr>
        <w:spacing w:before="0" w:after="0"/>
        <w:rPr>
          <w:rFonts w:eastAsia="Calibri" w:cs="Times New Roman"/>
          <w:b/>
          <w:sz w:val="22"/>
          <w:szCs w:val="22"/>
        </w:rPr>
      </w:pPr>
    </w:p>
    <w:p w14:paraId="4347D267" w14:textId="77777777" w:rsidR="00C33AB2" w:rsidRPr="005F6A99" w:rsidRDefault="00C33AB2" w:rsidP="001075F6">
      <w:pPr>
        <w:spacing w:before="0" w:after="0"/>
        <w:rPr>
          <w:rFonts w:eastAsia="Calibri" w:cs="Times New Roman"/>
          <w:b/>
          <w:sz w:val="22"/>
          <w:szCs w:val="22"/>
        </w:rPr>
      </w:pPr>
    </w:p>
    <w:p w14:paraId="194B5BBD" w14:textId="2FA26828" w:rsidR="00B82D70" w:rsidRPr="005F6A99" w:rsidRDefault="00C33AB2" w:rsidP="001075F6">
      <w:pPr>
        <w:spacing w:before="0" w:after="0"/>
        <w:jc w:val="left"/>
        <w:rPr>
          <w:rFonts w:eastAsia="Calibri" w:cs="Times New Roman"/>
          <w:b/>
          <w:szCs w:val="36"/>
        </w:rPr>
      </w:pPr>
      <w:r w:rsidRPr="005F6A99">
        <w:rPr>
          <w:rFonts w:eastAsia="Calibri" w:cs="Times New Roman"/>
          <w:b/>
          <w:szCs w:val="36"/>
        </w:rPr>
        <w:lastRenderedPageBreak/>
        <w:t xml:space="preserve">III). </w:t>
      </w:r>
      <w:r w:rsidR="00B82D70" w:rsidRPr="005F6A99">
        <w:rPr>
          <w:rFonts w:eastAsia="Calibri" w:cs="Times New Roman"/>
          <w:b/>
          <w:szCs w:val="36"/>
        </w:rPr>
        <w:t>NOTAS AL ESTADO DE VARIACIÓN DE LA HACIENDA PÚBLICA</w:t>
      </w:r>
    </w:p>
    <w:p w14:paraId="7B0B2F95" w14:textId="77777777" w:rsidR="00B82D70" w:rsidRPr="005F6A99" w:rsidRDefault="00B82D70" w:rsidP="00B82D70">
      <w:pPr>
        <w:widowControl w:val="0"/>
        <w:spacing w:before="0" w:after="0"/>
        <w:jc w:val="left"/>
        <w:rPr>
          <w:rFonts w:eastAsia="Times New Roman" w:cs="Times New Roman"/>
          <w:b/>
          <w:color w:val="000000"/>
          <w:sz w:val="22"/>
          <w:szCs w:val="22"/>
          <w:lang w:eastAsia="es-MX"/>
        </w:rPr>
      </w:pPr>
      <w:r w:rsidRPr="005F6A99">
        <w:rPr>
          <w:rFonts w:eastAsia="Times New Roman" w:cs="Times New Roman"/>
          <w:b/>
          <w:color w:val="000000"/>
          <w:sz w:val="22"/>
          <w:szCs w:val="22"/>
          <w:lang w:eastAsia="es-MX"/>
        </w:rPr>
        <w:t>HACIENDA PÚBLICA/PATRIMONIO</w:t>
      </w:r>
    </w:p>
    <w:p w14:paraId="772D63BB" w14:textId="77777777" w:rsidR="00B82D70" w:rsidRPr="005F6A99" w:rsidRDefault="00B82D70" w:rsidP="00B82D70">
      <w:pPr>
        <w:widowControl w:val="0"/>
        <w:kinsoku w:val="0"/>
        <w:spacing w:before="0" w:after="0"/>
        <w:ind w:left="426"/>
        <w:contextualSpacing/>
        <w:rPr>
          <w:rFonts w:eastAsia="Calibri" w:cs="Times New Roman"/>
          <w:b/>
          <w:sz w:val="22"/>
          <w:szCs w:val="22"/>
        </w:rPr>
      </w:pPr>
      <w:r w:rsidRPr="005F6A99">
        <w:rPr>
          <w:rFonts w:eastAsia="Times New Roman" w:cs="Times New Roman"/>
          <w:color w:val="000000"/>
          <w:sz w:val="22"/>
          <w:szCs w:val="22"/>
          <w:lang w:eastAsia="es-MX"/>
        </w:rPr>
        <w:t>Representa la diferencia entre el activo y el pasivo del ente público. Incluye el resultado de la gestión de ejercicios anteriores.</w:t>
      </w:r>
    </w:p>
    <w:p w14:paraId="2357FFD6" w14:textId="77777777" w:rsidR="00B82D70" w:rsidRPr="005F6A99" w:rsidRDefault="00B82D70" w:rsidP="00B82D70">
      <w:pPr>
        <w:spacing w:before="0" w:after="0"/>
        <w:ind w:left="426"/>
        <w:rPr>
          <w:rFonts w:eastAsia="Calibri" w:cs="Times New Roman"/>
          <w:b/>
          <w:sz w:val="22"/>
          <w:szCs w:val="22"/>
        </w:rPr>
      </w:pPr>
    </w:p>
    <w:p w14:paraId="01FE74CF" w14:textId="77777777" w:rsidR="00B82D70" w:rsidRPr="005F6A99" w:rsidRDefault="00B82D70" w:rsidP="00B82D70">
      <w:pPr>
        <w:spacing w:before="0" w:after="0"/>
        <w:ind w:left="426"/>
        <w:rPr>
          <w:rFonts w:eastAsia="Calibri" w:cs="Times New Roman"/>
          <w:b/>
          <w:sz w:val="22"/>
          <w:szCs w:val="22"/>
        </w:rPr>
      </w:pPr>
      <w:r w:rsidRPr="005F6A99">
        <w:rPr>
          <w:rFonts w:eastAsia="Calibri" w:cs="Times New Roman"/>
          <w:b/>
          <w:sz w:val="22"/>
          <w:szCs w:val="22"/>
        </w:rPr>
        <w:t xml:space="preserve">    1. Patrimonio Estatal/Patrimonio Contribuido</w:t>
      </w:r>
    </w:p>
    <w:p w14:paraId="19D3E84B" w14:textId="77777777" w:rsidR="00B82D70" w:rsidRPr="005F6A99" w:rsidRDefault="00B82D70" w:rsidP="00B82D70">
      <w:pPr>
        <w:widowControl w:val="0"/>
        <w:kinsoku w:val="0"/>
        <w:spacing w:before="0" w:after="0"/>
        <w:ind w:left="709"/>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Representa las </w:t>
      </w:r>
      <w:r w:rsidRPr="005F6A99">
        <w:rPr>
          <w:rFonts w:eastAsia="Times New Roman" w:cs="Times New Roman"/>
          <w:sz w:val="22"/>
          <w:szCs w:val="22"/>
          <w:lang w:eastAsia="es-MX"/>
        </w:rPr>
        <w:t xml:space="preserve">aportaciones, con fines permanentes, del </w:t>
      </w:r>
      <w:r w:rsidRPr="005F6A99">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71833679" w14:textId="77777777" w:rsidR="00B82D70" w:rsidRPr="005F6A99" w:rsidRDefault="00B82D70" w:rsidP="00B82D70">
      <w:pPr>
        <w:widowControl w:val="0"/>
        <w:kinsoku w:val="0"/>
        <w:spacing w:before="0" w:after="0"/>
        <w:ind w:left="709"/>
        <w:contextualSpacing/>
        <w:rPr>
          <w:rFonts w:eastAsia="Times New Roman" w:cs="Times New Roman"/>
          <w:color w:val="000000"/>
          <w:sz w:val="22"/>
          <w:szCs w:val="22"/>
          <w:lang w:eastAsia="es-MX"/>
        </w:rPr>
      </w:pPr>
    </w:p>
    <w:p w14:paraId="51CDBDC3" w14:textId="6DBFFDDE" w:rsidR="00B82D70" w:rsidRPr="005F6A99" w:rsidRDefault="00B82D70" w:rsidP="006A0403">
      <w:pPr>
        <w:widowControl w:val="0"/>
        <w:kinsoku w:val="0"/>
        <w:spacing w:before="0" w:after="0"/>
        <w:ind w:left="709"/>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Al 3</w:t>
      </w:r>
      <w:r w:rsidR="000F24EE" w:rsidRPr="005F6A99">
        <w:rPr>
          <w:rFonts w:eastAsia="Times New Roman" w:cs="Times New Roman"/>
          <w:color w:val="000000"/>
          <w:sz w:val="22"/>
          <w:szCs w:val="22"/>
          <w:lang w:eastAsia="es-MX"/>
        </w:rPr>
        <w:t>0</w:t>
      </w:r>
      <w:r w:rsidRPr="005F6A99">
        <w:rPr>
          <w:rFonts w:eastAsia="Times New Roman" w:cs="Times New Roman"/>
          <w:color w:val="000000"/>
          <w:sz w:val="22"/>
          <w:szCs w:val="22"/>
          <w:lang w:eastAsia="es-MX"/>
        </w:rPr>
        <w:t xml:space="preserve"> de </w:t>
      </w:r>
      <w:r w:rsidR="00F402DE" w:rsidRPr="005F6A99">
        <w:rPr>
          <w:rFonts w:eastAsia="Times New Roman" w:cs="Times New Roman"/>
          <w:color w:val="000000"/>
          <w:sz w:val="22"/>
          <w:szCs w:val="22"/>
          <w:lang w:eastAsia="es-MX"/>
        </w:rPr>
        <w:t>septiembre</w:t>
      </w:r>
      <w:r w:rsidR="0003700F" w:rsidRPr="005F6A99">
        <w:rPr>
          <w:rFonts w:eastAsia="Times New Roman" w:cs="Times New Roman"/>
          <w:color w:val="000000"/>
          <w:sz w:val="22"/>
          <w:szCs w:val="22"/>
          <w:lang w:eastAsia="es-MX"/>
        </w:rPr>
        <w:t xml:space="preserve"> </w:t>
      </w:r>
      <w:r w:rsidRPr="005F6A99">
        <w:rPr>
          <w:rFonts w:eastAsia="Times New Roman" w:cs="Times New Roman"/>
          <w:color w:val="000000"/>
          <w:sz w:val="22"/>
          <w:szCs w:val="22"/>
          <w:lang w:eastAsia="es-MX"/>
        </w:rPr>
        <w:t>de 202</w:t>
      </w:r>
      <w:r w:rsidR="006D7C47" w:rsidRPr="005F6A99">
        <w:rPr>
          <w:rFonts w:eastAsia="Times New Roman" w:cs="Times New Roman"/>
          <w:color w:val="000000"/>
          <w:sz w:val="22"/>
          <w:szCs w:val="22"/>
          <w:lang w:eastAsia="es-MX"/>
        </w:rPr>
        <w:t>2</w:t>
      </w:r>
      <w:r w:rsidRPr="005F6A99">
        <w:rPr>
          <w:rFonts w:eastAsia="Times New Roman" w:cs="Times New Roman"/>
          <w:color w:val="000000"/>
          <w:sz w:val="22"/>
          <w:szCs w:val="22"/>
          <w:lang w:eastAsia="es-MX"/>
        </w:rPr>
        <w:t xml:space="preserve">, presenta un saldo de </w:t>
      </w:r>
      <w:r w:rsidR="000F24EE" w:rsidRPr="005F6A99">
        <w:rPr>
          <w:rFonts w:eastAsia="Times New Roman" w:cs="Times New Roman"/>
          <w:color w:val="000000"/>
          <w:sz w:val="22"/>
          <w:szCs w:val="22"/>
          <w:lang w:eastAsia="es-MX"/>
        </w:rPr>
        <w:t>3</w:t>
      </w:r>
      <w:r w:rsidR="006A0403" w:rsidRPr="005F6A99">
        <w:rPr>
          <w:rFonts w:eastAsia="Times New Roman" w:cs="Times New Roman"/>
          <w:color w:val="000000"/>
          <w:sz w:val="22"/>
          <w:szCs w:val="22"/>
          <w:lang w:eastAsia="es-MX"/>
        </w:rPr>
        <w:t>8</w:t>
      </w:r>
      <w:r w:rsidRPr="005F6A99">
        <w:rPr>
          <w:rFonts w:eastAsia="Times New Roman" w:cs="Times New Roman"/>
          <w:color w:val="000000"/>
          <w:sz w:val="22"/>
          <w:szCs w:val="22"/>
          <w:lang w:eastAsia="es-MX"/>
        </w:rPr>
        <w:t xml:space="preserve"> mil</w:t>
      </w:r>
      <w:r w:rsidR="006D7C47" w:rsidRPr="005F6A99">
        <w:rPr>
          <w:rFonts w:eastAsia="Times New Roman" w:cs="Times New Roman"/>
          <w:color w:val="000000"/>
          <w:sz w:val="22"/>
          <w:szCs w:val="22"/>
          <w:lang w:eastAsia="es-MX"/>
        </w:rPr>
        <w:t xml:space="preserve"> </w:t>
      </w:r>
      <w:r w:rsidR="006A0403" w:rsidRPr="005F6A99">
        <w:rPr>
          <w:rFonts w:eastAsia="Times New Roman" w:cs="Times New Roman"/>
          <w:color w:val="000000"/>
          <w:sz w:val="22"/>
          <w:szCs w:val="22"/>
          <w:lang w:eastAsia="es-MX"/>
        </w:rPr>
        <w:t>790</w:t>
      </w:r>
      <w:r w:rsidRPr="005F6A99">
        <w:rPr>
          <w:rFonts w:eastAsia="Times New Roman" w:cs="Times New Roman"/>
          <w:color w:val="000000"/>
          <w:sz w:val="22"/>
          <w:szCs w:val="22"/>
          <w:lang w:eastAsia="es-MX"/>
        </w:rPr>
        <w:t xml:space="preserve"> millones </w:t>
      </w:r>
      <w:r w:rsidR="000F24EE" w:rsidRPr="005F6A99">
        <w:rPr>
          <w:rFonts w:eastAsia="Times New Roman" w:cs="Times New Roman"/>
          <w:color w:val="000000"/>
          <w:sz w:val="22"/>
          <w:szCs w:val="22"/>
          <w:lang w:eastAsia="es-MX"/>
        </w:rPr>
        <w:t>94</w:t>
      </w:r>
      <w:r w:rsidR="006A0403" w:rsidRPr="005F6A99">
        <w:rPr>
          <w:rFonts w:eastAsia="Times New Roman" w:cs="Times New Roman"/>
          <w:color w:val="000000"/>
          <w:sz w:val="22"/>
          <w:szCs w:val="22"/>
          <w:lang w:eastAsia="es-MX"/>
        </w:rPr>
        <w:t>9</w:t>
      </w:r>
      <w:r w:rsidRPr="005F6A99">
        <w:rPr>
          <w:rFonts w:eastAsia="Times New Roman" w:cs="Times New Roman"/>
          <w:color w:val="000000"/>
          <w:sz w:val="22"/>
          <w:szCs w:val="22"/>
          <w:lang w:eastAsia="es-MX"/>
        </w:rPr>
        <w:t xml:space="preserve"> </w:t>
      </w:r>
      <w:r w:rsidR="0003700F" w:rsidRPr="005F6A99">
        <w:rPr>
          <w:rFonts w:eastAsia="Times New Roman" w:cs="Times New Roman"/>
          <w:color w:val="000000"/>
          <w:sz w:val="22"/>
          <w:szCs w:val="22"/>
          <w:lang w:eastAsia="es-MX"/>
        </w:rPr>
        <w:t xml:space="preserve">mil </w:t>
      </w:r>
      <w:r w:rsidR="006A0403" w:rsidRPr="005F6A99">
        <w:rPr>
          <w:rFonts w:eastAsia="Times New Roman" w:cs="Times New Roman"/>
          <w:color w:val="000000"/>
          <w:sz w:val="22"/>
          <w:szCs w:val="22"/>
          <w:lang w:eastAsia="es-MX"/>
        </w:rPr>
        <w:t>231</w:t>
      </w:r>
      <w:r w:rsidRPr="005F6A99">
        <w:rPr>
          <w:rFonts w:eastAsia="Times New Roman" w:cs="Times New Roman"/>
          <w:color w:val="000000"/>
          <w:sz w:val="22"/>
          <w:szCs w:val="22"/>
          <w:lang w:eastAsia="es-MX"/>
        </w:rPr>
        <w:t xml:space="preserve"> pesos</w:t>
      </w:r>
      <w:r w:rsidR="005E0451" w:rsidRPr="005F6A99">
        <w:rPr>
          <w:rFonts w:eastAsia="Times New Roman" w:cs="Times New Roman"/>
          <w:color w:val="000000"/>
          <w:sz w:val="22"/>
          <w:szCs w:val="22"/>
          <w:lang w:eastAsia="es-MX"/>
        </w:rPr>
        <w:t>, lo que representa un aumento del 4.34% respecto del trimestre anterior</w:t>
      </w:r>
      <w:r w:rsidR="00C0303A" w:rsidRPr="005F6A99">
        <w:rPr>
          <w:rFonts w:eastAsia="Times New Roman" w:cs="Times New Roman"/>
          <w:color w:val="000000"/>
          <w:sz w:val="22"/>
          <w:szCs w:val="22"/>
          <w:lang w:eastAsia="es-MX"/>
        </w:rPr>
        <w:t>.</w:t>
      </w:r>
    </w:p>
    <w:p w14:paraId="5CF5BAC7" w14:textId="77777777" w:rsidR="00C0303A" w:rsidRPr="005F6A99" w:rsidRDefault="00C0303A" w:rsidP="00C0303A">
      <w:pPr>
        <w:widowControl w:val="0"/>
        <w:kinsoku w:val="0"/>
        <w:spacing w:before="0" w:after="0"/>
        <w:ind w:left="709"/>
        <w:contextualSpacing/>
        <w:rPr>
          <w:rFonts w:eastAsia="Times New Roman" w:cs="Times New Roman"/>
          <w:color w:val="000000"/>
          <w:sz w:val="22"/>
          <w:szCs w:val="22"/>
          <w:lang w:eastAsia="es-MX"/>
        </w:rPr>
      </w:pPr>
    </w:p>
    <w:p w14:paraId="5A0B556F" w14:textId="7A9B2374" w:rsidR="00B82D70" w:rsidRPr="005F6A99" w:rsidRDefault="008049DF" w:rsidP="00C0303A">
      <w:pPr>
        <w:widowControl w:val="0"/>
        <w:kinsoku w:val="0"/>
        <w:spacing w:before="120" w:after="120"/>
        <w:ind w:left="142"/>
        <w:contextualSpacing/>
        <w:jc w:val="center"/>
        <w:rPr>
          <w:rFonts w:eastAsia="Calibri" w:cs="Times New Roman"/>
        </w:rPr>
      </w:pPr>
      <w:r w:rsidRPr="005F6A99">
        <w:rPr>
          <w:noProof/>
          <w:lang w:val="es-MX" w:eastAsia="es-MX"/>
        </w:rPr>
        <w:drawing>
          <wp:inline distT="0" distB="0" distL="0" distR="0" wp14:anchorId="02330132" wp14:editId="77183B62">
            <wp:extent cx="6351270" cy="790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790575"/>
                    </a:xfrm>
                    <a:prstGeom prst="rect">
                      <a:avLst/>
                    </a:prstGeom>
                    <a:noFill/>
                    <a:ln>
                      <a:noFill/>
                    </a:ln>
                  </pic:spPr>
                </pic:pic>
              </a:graphicData>
            </a:graphic>
          </wp:inline>
        </w:drawing>
      </w:r>
    </w:p>
    <w:p w14:paraId="7FD967CD" w14:textId="77777777" w:rsidR="00C0303A" w:rsidRPr="005F6A99" w:rsidRDefault="00C0303A" w:rsidP="00B82D70">
      <w:pPr>
        <w:spacing w:before="0" w:after="0"/>
        <w:ind w:left="425"/>
        <w:rPr>
          <w:rFonts w:eastAsia="Calibri" w:cs="Times New Roman"/>
          <w:sz w:val="22"/>
          <w:szCs w:val="22"/>
        </w:rPr>
      </w:pPr>
    </w:p>
    <w:p w14:paraId="52701391" w14:textId="77777777" w:rsidR="00B82D70" w:rsidRPr="005F6A99" w:rsidRDefault="00B82D70" w:rsidP="00B82D70">
      <w:pPr>
        <w:spacing w:before="0" w:after="0"/>
        <w:ind w:left="425"/>
        <w:rPr>
          <w:rFonts w:eastAsia="Calibri" w:cs="Times New Roman"/>
          <w:sz w:val="22"/>
          <w:szCs w:val="22"/>
        </w:rPr>
      </w:pPr>
      <w:r w:rsidRPr="005F6A99">
        <w:rPr>
          <w:rFonts w:eastAsia="Calibri" w:cs="Times New Roman"/>
          <w:sz w:val="22"/>
          <w:szCs w:val="22"/>
        </w:rPr>
        <w:t xml:space="preserve">Dentro del rubro de Patrimonio Estatal/Patrimonio contribuido, se destaca </w:t>
      </w:r>
      <w:r w:rsidR="00570A02" w:rsidRPr="005F6A99">
        <w:rPr>
          <w:rFonts w:eastAsia="Calibri" w:cs="Times New Roman"/>
          <w:sz w:val="22"/>
          <w:szCs w:val="22"/>
        </w:rPr>
        <w:t>l</w:t>
      </w:r>
      <w:r w:rsidRPr="005F6A99">
        <w:rPr>
          <w:rFonts w:eastAsia="Calibri" w:cs="Times New Roman"/>
          <w:sz w:val="22"/>
          <w:szCs w:val="22"/>
        </w:rPr>
        <w:t xml:space="preserve">a actualización realizada de la participación del Poder Ejecutivo en el Patrimonio de las Entidades Paraestatales, </w:t>
      </w:r>
      <w:r w:rsidR="00570A02" w:rsidRPr="005F6A99">
        <w:rPr>
          <w:rFonts w:eastAsia="Calibri" w:cs="Times New Roman"/>
          <w:sz w:val="22"/>
          <w:szCs w:val="22"/>
        </w:rPr>
        <w:t xml:space="preserve">el cual </w:t>
      </w:r>
      <w:r w:rsidRPr="005F6A99">
        <w:rPr>
          <w:rFonts w:eastAsia="Calibri" w:cs="Times New Roman"/>
          <w:sz w:val="22"/>
          <w:szCs w:val="22"/>
        </w:rPr>
        <w:t xml:space="preserve">se detalla en el punto 6 de las notas de desglose.  </w:t>
      </w:r>
    </w:p>
    <w:p w14:paraId="499DD184" w14:textId="77777777" w:rsidR="00A07777" w:rsidRPr="005F6A99" w:rsidRDefault="00A07777" w:rsidP="00456403">
      <w:pPr>
        <w:spacing w:before="0" w:after="0"/>
        <w:rPr>
          <w:rFonts w:eastAsia="Calibri" w:cs="Times New Roman"/>
          <w:b/>
          <w:sz w:val="22"/>
          <w:szCs w:val="22"/>
        </w:rPr>
      </w:pPr>
    </w:p>
    <w:p w14:paraId="3C275A37" w14:textId="77777777" w:rsidR="00B82D70" w:rsidRPr="005F6A99" w:rsidRDefault="00B82D70" w:rsidP="00B82D70">
      <w:pPr>
        <w:spacing w:before="0" w:after="0"/>
        <w:ind w:left="425"/>
        <w:rPr>
          <w:rFonts w:eastAsia="Calibri" w:cs="Times New Roman"/>
          <w:b/>
          <w:sz w:val="22"/>
          <w:szCs w:val="22"/>
        </w:rPr>
      </w:pPr>
      <w:r w:rsidRPr="005F6A99">
        <w:rPr>
          <w:rFonts w:eastAsia="Calibri" w:cs="Times New Roman"/>
          <w:b/>
          <w:sz w:val="22"/>
          <w:szCs w:val="22"/>
        </w:rPr>
        <w:t>2. Patrimonio Estatal/Patrimonio Generado</w:t>
      </w:r>
    </w:p>
    <w:p w14:paraId="4CBCBA62" w14:textId="77777777" w:rsidR="00B82D70" w:rsidRPr="005F6A99" w:rsidRDefault="00B82D70" w:rsidP="00B82D70">
      <w:pPr>
        <w:spacing w:before="0" w:after="0"/>
        <w:ind w:left="425"/>
        <w:rPr>
          <w:rFonts w:eastAsia="Calibri" w:cs="Times New Roman"/>
          <w:color w:val="000000"/>
          <w:sz w:val="22"/>
          <w:szCs w:val="22"/>
        </w:rPr>
      </w:pPr>
    </w:p>
    <w:p w14:paraId="6813D747" w14:textId="7D27FE84" w:rsidR="00C0303A" w:rsidRPr="005F6A99" w:rsidRDefault="00B82D70" w:rsidP="000F24EE">
      <w:pPr>
        <w:widowControl w:val="0"/>
        <w:kinsoku w:val="0"/>
        <w:spacing w:before="0" w:after="0"/>
        <w:ind w:left="425"/>
        <w:contextualSpacing/>
        <w:rPr>
          <w:rFonts w:eastAsia="Calibri" w:cs="Times New Roman"/>
          <w:color w:val="000000"/>
          <w:sz w:val="22"/>
          <w:szCs w:val="22"/>
        </w:rPr>
      </w:pPr>
      <w:r w:rsidRPr="005F6A99">
        <w:rPr>
          <w:rFonts w:eastAsia="Calibri" w:cs="Times New Roman"/>
          <w:color w:val="000000"/>
          <w:sz w:val="22"/>
          <w:szCs w:val="22"/>
        </w:rPr>
        <w:t xml:space="preserve">Representa la acumulación de resultados de la gestión de ejercicios anteriores, </w:t>
      </w:r>
      <w:r w:rsidRPr="005F6A99">
        <w:rPr>
          <w:rFonts w:eastAsia="Calibri" w:cs="Times New Roman"/>
          <w:color w:val="000000"/>
          <w:sz w:val="22"/>
          <w:szCs w:val="22"/>
        </w:rPr>
        <w:lastRenderedPageBreak/>
        <w:t>incluyendo las aplicadas a reservas, resultados del ejercicio en operación y los eventos identificables y cuantificables</w:t>
      </w:r>
      <w:r w:rsidR="000F24EE" w:rsidRPr="005F6A99">
        <w:rPr>
          <w:rFonts w:eastAsia="Calibri" w:cs="Times New Roman"/>
          <w:color w:val="000000"/>
          <w:sz w:val="22"/>
          <w:szCs w:val="22"/>
        </w:rPr>
        <w:t xml:space="preserve"> de ejercicios anteriores</w:t>
      </w:r>
      <w:r w:rsidRPr="005F6A99">
        <w:rPr>
          <w:rFonts w:eastAsia="Calibri" w:cs="Times New Roman"/>
          <w:color w:val="000000"/>
          <w:sz w:val="22"/>
          <w:szCs w:val="22"/>
        </w:rPr>
        <w:t xml:space="preserve"> que le afectan de acuerdo con los lineamientos emitidos por el Consejo Nacional de Armonización Contable.</w:t>
      </w:r>
    </w:p>
    <w:p w14:paraId="5C36B301" w14:textId="5A16D983" w:rsidR="00C0303A" w:rsidRPr="005F6A99" w:rsidRDefault="005E0451" w:rsidP="00B82D70">
      <w:pPr>
        <w:widowControl w:val="0"/>
        <w:kinsoku w:val="0"/>
        <w:spacing w:before="0" w:after="0"/>
        <w:ind w:left="425"/>
        <w:contextualSpacing/>
        <w:rPr>
          <w:rFonts w:eastAsia="Calibri" w:cs="Times New Roman"/>
          <w:color w:val="000000"/>
          <w:sz w:val="22"/>
          <w:szCs w:val="22"/>
        </w:rPr>
      </w:pPr>
      <w:r w:rsidRPr="005F6A99">
        <w:rPr>
          <w:noProof/>
          <w:lang w:val="es-MX" w:eastAsia="es-MX"/>
        </w:rPr>
        <w:drawing>
          <wp:inline distT="0" distB="0" distL="0" distR="0" wp14:anchorId="4F187FCF" wp14:editId="78E1FAB1">
            <wp:extent cx="6351270" cy="9829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982980"/>
                    </a:xfrm>
                    <a:prstGeom prst="rect">
                      <a:avLst/>
                    </a:prstGeom>
                    <a:noFill/>
                    <a:ln>
                      <a:noFill/>
                    </a:ln>
                  </pic:spPr>
                </pic:pic>
              </a:graphicData>
            </a:graphic>
          </wp:inline>
        </w:drawing>
      </w:r>
    </w:p>
    <w:p w14:paraId="38F10E24" w14:textId="77777777" w:rsidR="00B82D70" w:rsidRPr="005F6A99" w:rsidRDefault="00B82D70" w:rsidP="00B82D70">
      <w:pPr>
        <w:spacing w:before="0" w:after="0"/>
        <w:rPr>
          <w:rFonts w:eastAsia="Calibri" w:cs="Times New Roman"/>
          <w:b/>
          <w:sz w:val="22"/>
          <w:szCs w:val="22"/>
        </w:rPr>
      </w:pPr>
    </w:p>
    <w:p w14:paraId="12B83AD8" w14:textId="77777777" w:rsidR="00B82D70" w:rsidRPr="005F6A99" w:rsidRDefault="00B82D70" w:rsidP="00B82D70">
      <w:pPr>
        <w:spacing w:before="0" w:after="0"/>
        <w:rPr>
          <w:rFonts w:ascii="Arial" w:hAnsi="Arial" w:cs="Arial"/>
          <w:b/>
          <w:color w:val="000000"/>
          <w:sz w:val="22"/>
          <w:szCs w:val="22"/>
        </w:rPr>
      </w:pPr>
      <w:r w:rsidRPr="005F6A99">
        <w:rPr>
          <w:rFonts w:eastAsia="Calibri" w:cs="Times New Roman"/>
          <w:b/>
          <w:sz w:val="22"/>
          <w:szCs w:val="22"/>
        </w:rPr>
        <w:t>Resultado del Ejercicio</w:t>
      </w:r>
      <w:r w:rsidRPr="005F6A99">
        <w:rPr>
          <w:rFonts w:ascii="Arial" w:hAnsi="Arial" w:cs="Arial"/>
          <w:b/>
          <w:color w:val="000000"/>
          <w:sz w:val="22"/>
          <w:szCs w:val="22"/>
        </w:rPr>
        <w:t xml:space="preserve"> </w:t>
      </w:r>
    </w:p>
    <w:p w14:paraId="40B63A0C" w14:textId="77777777" w:rsidR="00B82D70" w:rsidRPr="005F6A99" w:rsidRDefault="00B82D70" w:rsidP="00B82D70">
      <w:pPr>
        <w:spacing w:before="0" w:after="0"/>
        <w:rPr>
          <w:rFonts w:ascii="Arial" w:hAnsi="Arial" w:cs="Arial"/>
          <w:b/>
          <w:color w:val="000000"/>
          <w:sz w:val="22"/>
          <w:szCs w:val="22"/>
        </w:rPr>
      </w:pPr>
    </w:p>
    <w:p w14:paraId="29DDC670" w14:textId="365CAEC8" w:rsidR="00B82D70" w:rsidRPr="005F6A99" w:rsidRDefault="00B82D70" w:rsidP="00B82D70">
      <w:pPr>
        <w:widowControl w:val="0"/>
        <w:kinsoku w:val="0"/>
        <w:spacing w:before="0" w:after="0"/>
        <w:contextualSpacing/>
        <w:rPr>
          <w:rFonts w:eastAsia="Calibri" w:cs="Times New Roman"/>
          <w:b/>
          <w:sz w:val="22"/>
          <w:szCs w:val="22"/>
        </w:rPr>
      </w:pPr>
      <w:r w:rsidRPr="005F6A99">
        <w:rPr>
          <w:rFonts w:eastAsia="Times New Roman" w:cs="Times New Roman"/>
          <w:color w:val="000000"/>
          <w:sz w:val="22"/>
          <w:szCs w:val="22"/>
          <w:lang w:eastAsia="es-MX"/>
        </w:rPr>
        <w:t xml:space="preserve">El monto de </w:t>
      </w:r>
      <w:r w:rsidR="00121EF0" w:rsidRPr="005F6A99">
        <w:rPr>
          <w:rFonts w:eastAsia="Calibri" w:cs="Times New Roman"/>
          <w:color w:val="000000"/>
          <w:sz w:val="22"/>
          <w:szCs w:val="22"/>
        </w:rPr>
        <w:t>8</w:t>
      </w:r>
      <w:r w:rsidR="00570A02" w:rsidRPr="005F6A99">
        <w:rPr>
          <w:rFonts w:eastAsia="Calibri" w:cs="Times New Roman"/>
          <w:color w:val="000000"/>
          <w:sz w:val="22"/>
          <w:szCs w:val="22"/>
        </w:rPr>
        <w:t xml:space="preserve"> mil </w:t>
      </w:r>
      <w:r w:rsidR="00121EF0" w:rsidRPr="005F6A99">
        <w:rPr>
          <w:rFonts w:eastAsia="Calibri" w:cs="Times New Roman"/>
          <w:color w:val="000000"/>
          <w:sz w:val="22"/>
          <w:szCs w:val="22"/>
        </w:rPr>
        <w:t>727</w:t>
      </w:r>
      <w:r w:rsidR="00570A02" w:rsidRPr="005F6A99">
        <w:rPr>
          <w:rFonts w:eastAsia="Calibri" w:cs="Times New Roman"/>
          <w:color w:val="000000"/>
          <w:sz w:val="22"/>
          <w:szCs w:val="22"/>
        </w:rPr>
        <w:t xml:space="preserve"> millones </w:t>
      </w:r>
      <w:r w:rsidR="000F24EE" w:rsidRPr="005F6A99">
        <w:rPr>
          <w:rFonts w:eastAsia="Calibri" w:cs="Times New Roman"/>
          <w:color w:val="000000"/>
          <w:sz w:val="22"/>
          <w:szCs w:val="22"/>
        </w:rPr>
        <w:t>3</w:t>
      </w:r>
      <w:r w:rsidR="00121EF0" w:rsidRPr="005F6A99">
        <w:rPr>
          <w:rFonts w:eastAsia="Calibri" w:cs="Times New Roman"/>
          <w:color w:val="000000"/>
          <w:sz w:val="22"/>
          <w:szCs w:val="22"/>
        </w:rPr>
        <w:t>04</w:t>
      </w:r>
      <w:r w:rsidR="00570A02" w:rsidRPr="005F6A99">
        <w:rPr>
          <w:rFonts w:eastAsia="Calibri" w:cs="Times New Roman"/>
          <w:color w:val="000000"/>
          <w:sz w:val="22"/>
          <w:szCs w:val="22"/>
        </w:rPr>
        <w:t xml:space="preserve"> mil </w:t>
      </w:r>
      <w:r w:rsidR="00121EF0" w:rsidRPr="005F6A99">
        <w:rPr>
          <w:rFonts w:eastAsia="Calibri" w:cs="Times New Roman"/>
          <w:color w:val="000000"/>
          <w:sz w:val="22"/>
          <w:szCs w:val="22"/>
        </w:rPr>
        <w:t>720</w:t>
      </w:r>
      <w:r w:rsidR="00570A02" w:rsidRPr="005F6A99">
        <w:rPr>
          <w:rFonts w:eastAsia="Calibri" w:cs="Times New Roman"/>
          <w:color w:val="000000"/>
          <w:sz w:val="22"/>
          <w:szCs w:val="22"/>
        </w:rPr>
        <w:t xml:space="preserve"> pesos</w:t>
      </w:r>
      <w:r w:rsidRPr="005F6A99">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5F6A99" w:rsidRDefault="00B82D70" w:rsidP="00B82D70">
      <w:pPr>
        <w:spacing w:before="0" w:after="0"/>
        <w:rPr>
          <w:rFonts w:eastAsia="Calibri" w:cs="Times New Roman"/>
          <w:b/>
          <w:sz w:val="22"/>
          <w:szCs w:val="22"/>
        </w:rPr>
      </w:pPr>
    </w:p>
    <w:p w14:paraId="2B376B25" w14:textId="77777777" w:rsidR="00B82D70" w:rsidRPr="005F6A99" w:rsidRDefault="00B82D70" w:rsidP="00B82D70">
      <w:pPr>
        <w:spacing w:before="0" w:after="0"/>
        <w:rPr>
          <w:rFonts w:ascii="Arial" w:hAnsi="Arial" w:cs="Arial"/>
          <w:b/>
          <w:color w:val="000000"/>
          <w:sz w:val="22"/>
          <w:szCs w:val="22"/>
        </w:rPr>
      </w:pPr>
      <w:r w:rsidRPr="005F6A99">
        <w:rPr>
          <w:rFonts w:eastAsia="Calibri" w:cs="Times New Roman"/>
          <w:b/>
          <w:sz w:val="22"/>
          <w:szCs w:val="22"/>
        </w:rPr>
        <w:t>Resultado de Ejercicios Anteriores</w:t>
      </w:r>
      <w:r w:rsidRPr="005F6A99">
        <w:rPr>
          <w:rFonts w:ascii="Arial" w:hAnsi="Arial" w:cs="Arial"/>
          <w:b/>
          <w:color w:val="000000"/>
          <w:sz w:val="22"/>
          <w:szCs w:val="22"/>
        </w:rPr>
        <w:t xml:space="preserve"> </w:t>
      </w:r>
    </w:p>
    <w:p w14:paraId="08163320" w14:textId="77777777" w:rsidR="001274E9" w:rsidRPr="005F6A99" w:rsidRDefault="001274E9" w:rsidP="00B82D70">
      <w:pPr>
        <w:spacing w:before="0" w:after="0"/>
        <w:rPr>
          <w:rFonts w:ascii="Arial" w:hAnsi="Arial" w:cs="Arial"/>
          <w:b/>
          <w:color w:val="000000"/>
          <w:sz w:val="22"/>
          <w:szCs w:val="22"/>
        </w:rPr>
      </w:pPr>
    </w:p>
    <w:p w14:paraId="1A4B3C7B" w14:textId="77777777" w:rsidR="00A07777" w:rsidRPr="005F6A99" w:rsidRDefault="00B82D70" w:rsidP="00B82D70">
      <w:pPr>
        <w:spacing w:before="0" w:after="0"/>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006D7C47" w:rsidRPr="005F6A99">
        <w:rPr>
          <w:rFonts w:eastAsia="Times New Roman" w:cs="Times New Roman"/>
          <w:color w:val="000000"/>
          <w:sz w:val="22"/>
          <w:szCs w:val="22"/>
          <w:lang w:eastAsia="es-MX"/>
        </w:rPr>
        <w:t>7</w:t>
      </w:r>
      <w:r w:rsidRPr="005F6A99">
        <w:rPr>
          <w:rFonts w:eastAsia="Times New Roman" w:cs="Times New Roman"/>
          <w:color w:val="000000"/>
          <w:sz w:val="22"/>
          <w:szCs w:val="22"/>
          <w:lang w:eastAsia="es-MX"/>
        </w:rPr>
        <w:t xml:space="preserve"> mil 7</w:t>
      </w:r>
      <w:r w:rsidR="006D7C47" w:rsidRPr="005F6A99">
        <w:rPr>
          <w:rFonts w:eastAsia="Times New Roman" w:cs="Times New Roman"/>
          <w:color w:val="000000"/>
          <w:sz w:val="22"/>
          <w:szCs w:val="22"/>
          <w:lang w:eastAsia="es-MX"/>
        </w:rPr>
        <w:t>41</w:t>
      </w:r>
      <w:r w:rsidRPr="005F6A99">
        <w:rPr>
          <w:rFonts w:eastAsia="Times New Roman" w:cs="Times New Roman"/>
          <w:color w:val="000000"/>
          <w:sz w:val="22"/>
          <w:szCs w:val="22"/>
          <w:lang w:eastAsia="es-MX"/>
        </w:rPr>
        <w:t xml:space="preserve"> millones </w:t>
      </w:r>
      <w:r w:rsidR="006D7C47" w:rsidRPr="005F6A99">
        <w:rPr>
          <w:rFonts w:eastAsia="Times New Roman" w:cs="Times New Roman"/>
          <w:color w:val="000000"/>
          <w:sz w:val="22"/>
          <w:szCs w:val="22"/>
          <w:lang w:eastAsia="es-MX"/>
        </w:rPr>
        <w:t>44</w:t>
      </w:r>
      <w:r w:rsidRPr="005F6A99">
        <w:rPr>
          <w:rFonts w:eastAsia="Times New Roman" w:cs="Times New Roman"/>
          <w:color w:val="000000"/>
          <w:sz w:val="22"/>
          <w:szCs w:val="22"/>
          <w:lang w:eastAsia="es-MX"/>
        </w:rPr>
        <w:t xml:space="preserve"> mil </w:t>
      </w:r>
      <w:r w:rsidR="006D7C47" w:rsidRPr="005F6A99">
        <w:rPr>
          <w:rFonts w:eastAsia="Times New Roman" w:cs="Times New Roman"/>
          <w:color w:val="000000"/>
          <w:sz w:val="22"/>
          <w:szCs w:val="22"/>
          <w:lang w:eastAsia="es-MX"/>
        </w:rPr>
        <w:t>823</w:t>
      </w:r>
      <w:r w:rsidRPr="005F6A99">
        <w:rPr>
          <w:rFonts w:eastAsia="Times New Roman" w:cs="Times New Roman"/>
          <w:color w:val="000000"/>
          <w:sz w:val="22"/>
          <w:szCs w:val="22"/>
          <w:lang w:eastAsia="es-MX"/>
        </w:rPr>
        <w:t xml:space="preserve"> pesos, en donde ya se incluye el </w:t>
      </w:r>
    </w:p>
    <w:p w14:paraId="56B40D71" w14:textId="02AB8D00" w:rsidR="00B82D70" w:rsidRPr="005F6A99" w:rsidRDefault="00B82D70" w:rsidP="00B82D70">
      <w:pPr>
        <w:spacing w:before="0" w:after="0"/>
        <w:rPr>
          <w:rFonts w:eastAsia="Times New Roman" w:cs="Times New Roman"/>
          <w:color w:val="000000"/>
          <w:sz w:val="22"/>
          <w:szCs w:val="22"/>
          <w:lang w:eastAsia="es-MX"/>
        </w:rPr>
      </w:pPr>
      <w:r w:rsidRPr="005F6A99">
        <w:rPr>
          <w:rFonts w:eastAsia="Times New Roman" w:cs="Times New Roman"/>
          <w:color w:val="000000"/>
          <w:sz w:val="22"/>
          <w:szCs w:val="22"/>
          <w:lang w:eastAsia="es-MX"/>
        </w:rPr>
        <w:t>resultado superavitario o ahorro que se obtuvo en el ejercicio 202</w:t>
      </w:r>
      <w:r w:rsidR="006D7C47" w:rsidRPr="005F6A99">
        <w:rPr>
          <w:rFonts w:eastAsia="Times New Roman" w:cs="Times New Roman"/>
          <w:color w:val="000000"/>
          <w:sz w:val="22"/>
          <w:szCs w:val="22"/>
          <w:lang w:eastAsia="es-MX"/>
        </w:rPr>
        <w:t>1</w:t>
      </w:r>
      <w:r w:rsidRPr="005F6A99">
        <w:rPr>
          <w:rFonts w:eastAsia="Times New Roman" w:cs="Times New Roman"/>
          <w:color w:val="000000"/>
          <w:sz w:val="22"/>
          <w:szCs w:val="22"/>
          <w:lang w:eastAsia="es-MX"/>
        </w:rPr>
        <w:t xml:space="preserve"> por un importe de 1 mil </w:t>
      </w:r>
      <w:r w:rsidR="006D7C47" w:rsidRPr="005F6A99">
        <w:rPr>
          <w:rFonts w:eastAsia="Times New Roman" w:cs="Times New Roman"/>
          <w:color w:val="000000"/>
          <w:sz w:val="22"/>
          <w:szCs w:val="22"/>
          <w:lang w:eastAsia="es-MX"/>
        </w:rPr>
        <w:t>33</w:t>
      </w:r>
      <w:r w:rsidRPr="005F6A99">
        <w:rPr>
          <w:rFonts w:eastAsia="Times New Roman" w:cs="Times New Roman"/>
          <w:color w:val="000000"/>
          <w:sz w:val="22"/>
          <w:szCs w:val="22"/>
          <w:lang w:eastAsia="es-MX"/>
        </w:rPr>
        <w:t xml:space="preserve"> millones </w:t>
      </w:r>
      <w:r w:rsidR="00102DD3" w:rsidRPr="005F6A99">
        <w:rPr>
          <w:rFonts w:eastAsia="Times New Roman" w:cs="Times New Roman"/>
          <w:color w:val="000000"/>
          <w:sz w:val="22"/>
          <w:szCs w:val="22"/>
          <w:lang w:eastAsia="es-MX"/>
        </w:rPr>
        <w:t>307</w:t>
      </w:r>
      <w:r w:rsidRPr="005F6A99">
        <w:rPr>
          <w:rFonts w:eastAsia="Times New Roman" w:cs="Times New Roman"/>
          <w:color w:val="000000"/>
          <w:sz w:val="22"/>
          <w:szCs w:val="22"/>
          <w:lang w:eastAsia="es-MX"/>
        </w:rPr>
        <w:t xml:space="preserve"> mil </w:t>
      </w:r>
      <w:r w:rsidR="00102DD3" w:rsidRPr="005F6A99">
        <w:rPr>
          <w:rFonts w:eastAsia="Times New Roman" w:cs="Times New Roman"/>
          <w:color w:val="000000"/>
          <w:sz w:val="22"/>
          <w:szCs w:val="22"/>
          <w:lang w:eastAsia="es-MX"/>
        </w:rPr>
        <w:t>692</w:t>
      </w:r>
      <w:r w:rsidRPr="005F6A99">
        <w:rPr>
          <w:rFonts w:eastAsia="Times New Roman" w:cs="Times New Roman"/>
          <w:color w:val="000000"/>
          <w:sz w:val="22"/>
          <w:szCs w:val="22"/>
          <w:lang w:eastAsia="es-MX"/>
        </w:rPr>
        <w:t xml:space="preserve"> pesos.</w:t>
      </w:r>
    </w:p>
    <w:p w14:paraId="4EA6E7C9" w14:textId="77777777" w:rsidR="000F24EE" w:rsidRPr="005F6A99" w:rsidRDefault="000F24EE" w:rsidP="00B82D70">
      <w:pPr>
        <w:widowControl w:val="0"/>
        <w:kinsoku w:val="0"/>
        <w:spacing w:before="0" w:after="0"/>
        <w:contextualSpacing/>
        <w:rPr>
          <w:rFonts w:eastAsia="Times New Roman" w:cs="Times New Roman"/>
          <w:color w:val="000000"/>
          <w:sz w:val="22"/>
          <w:szCs w:val="22"/>
          <w:lang w:eastAsia="es-MX"/>
        </w:rPr>
      </w:pPr>
    </w:p>
    <w:p w14:paraId="08D2FFED" w14:textId="2DCE4326" w:rsidR="009A652D" w:rsidRPr="005F6A99" w:rsidRDefault="009A652D" w:rsidP="009A652D">
      <w:pPr>
        <w:spacing w:before="0" w:after="0"/>
        <w:rPr>
          <w:rFonts w:ascii="Arial" w:hAnsi="Arial" w:cs="Arial"/>
          <w:b/>
          <w:color w:val="000000"/>
          <w:sz w:val="22"/>
          <w:szCs w:val="22"/>
        </w:rPr>
      </w:pPr>
      <w:r w:rsidRPr="005F6A99">
        <w:rPr>
          <w:rFonts w:eastAsia="Calibri" w:cs="Times New Roman"/>
          <w:b/>
          <w:sz w:val="22"/>
          <w:szCs w:val="22"/>
        </w:rPr>
        <w:t>Rectificaciones de Resultado de Ejercicios Anteriores</w:t>
      </w:r>
      <w:r w:rsidRPr="005F6A99">
        <w:rPr>
          <w:rFonts w:ascii="Arial" w:hAnsi="Arial" w:cs="Arial"/>
          <w:b/>
          <w:color w:val="000000"/>
          <w:sz w:val="22"/>
          <w:szCs w:val="22"/>
        </w:rPr>
        <w:t xml:space="preserve"> </w:t>
      </w:r>
    </w:p>
    <w:p w14:paraId="1ABAD430" w14:textId="03BE23A4" w:rsidR="009A652D" w:rsidRPr="005F6A99" w:rsidRDefault="009A652D" w:rsidP="00B82D70">
      <w:pPr>
        <w:widowControl w:val="0"/>
        <w:kinsoku w:val="0"/>
        <w:spacing w:before="0" w:after="0"/>
        <w:contextualSpacing/>
        <w:rPr>
          <w:rFonts w:eastAsia="Times New Roman" w:cs="Times New Roman"/>
          <w:color w:val="000000"/>
          <w:sz w:val="22"/>
          <w:szCs w:val="22"/>
          <w:lang w:eastAsia="es-MX"/>
        </w:rPr>
      </w:pPr>
    </w:p>
    <w:p w14:paraId="09AD8B4B" w14:textId="03CB3E9F" w:rsidR="003E0BBE" w:rsidRPr="005F6A99" w:rsidRDefault="003E0BBE" w:rsidP="003E0BBE">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En esta cuenta se </w:t>
      </w:r>
      <w:r w:rsidR="00072B36" w:rsidRPr="005F6A99">
        <w:rPr>
          <w:rFonts w:eastAsia="Times New Roman" w:cs="Times New Roman"/>
          <w:color w:val="000000"/>
          <w:sz w:val="22"/>
          <w:szCs w:val="22"/>
          <w:lang w:eastAsia="es-MX"/>
        </w:rPr>
        <w:t>establece el</w:t>
      </w:r>
      <w:r w:rsidRPr="005F6A99">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w:t>
      </w:r>
      <w:r w:rsidRPr="005F6A99">
        <w:rPr>
          <w:rFonts w:eastAsia="Times New Roman" w:cs="Times New Roman"/>
          <w:color w:val="000000"/>
          <w:sz w:val="22"/>
          <w:szCs w:val="22"/>
          <w:lang w:eastAsia="es-MX"/>
        </w:rPr>
        <w:lastRenderedPageBreak/>
        <w:t>bien por los registros contables extemporáneos, por correcciones por errores aritméticos, por errores en la aplicación de políticas contables, así como la inadvertencia o mala interpretación de hechos</w:t>
      </w:r>
      <w:r w:rsidR="00072B36" w:rsidRPr="005F6A99">
        <w:rPr>
          <w:rFonts w:eastAsia="Times New Roman" w:cs="Times New Roman"/>
          <w:color w:val="000000"/>
          <w:sz w:val="22"/>
          <w:szCs w:val="22"/>
          <w:lang w:eastAsia="es-MX"/>
        </w:rPr>
        <w:t>.</w:t>
      </w:r>
    </w:p>
    <w:p w14:paraId="272E16FB" w14:textId="77777777" w:rsidR="00072B36" w:rsidRPr="005F6A99" w:rsidRDefault="00072B36" w:rsidP="003E0BBE">
      <w:pPr>
        <w:widowControl w:val="0"/>
        <w:kinsoku w:val="0"/>
        <w:spacing w:before="0" w:after="0"/>
        <w:contextualSpacing/>
        <w:rPr>
          <w:rFonts w:eastAsia="Times New Roman" w:cs="Times New Roman"/>
          <w:color w:val="000000"/>
          <w:sz w:val="22"/>
          <w:szCs w:val="22"/>
          <w:lang w:eastAsia="es-MX"/>
        </w:rPr>
      </w:pPr>
    </w:p>
    <w:p w14:paraId="4D524FE8" w14:textId="412817FD" w:rsidR="00B82D70" w:rsidRPr="005F6A99" w:rsidRDefault="00B82D70" w:rsidP="00B82D70">
      <w:pPr>
        <w:widowControl w:val="0"/>
        <w:kinsoku w:val="0"/>
        <w:spacing w:before="0" w:after="0"/>
        <w:contextualSpacing/>
        <w:rPr>
          <w:rFonts w:eastAsia="Times New Roman" w:cs="Times New Roman"/>
          <w:color w:val="000000"/>
          <w:sz w:val="22"/>
          <w:szCs w:val="22"/>
          <w:lang w:eastAsia="es-MX"/>
        </w:rPr>
      </w:pPr>
    </w:p>
    <w:p w14:paraId="3A2D10AA" w14:textId="6DE515BC"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087FAE2F" w14:textId="2549EF4F"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206E5FF3" w14:textId="4563B43C"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1D063C2A" w14:textId="133ECCFC"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6B4A9C16" w14:textId="2852EF34"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10AF776F" w14:textId="36859320"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3D69F623" w14:textId="25146972"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1B1DEDE4" w14:textId="663C157F"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2A11A8E4" w14:textId="0289010F"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5CFA41D6" w14:textId="07BCA117"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6A7C9A83" w14:textId="49408568"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4B4ABD40" w14:textId="0D4B0B42"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12FB8FA3" w14:textId="57C21D94"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4CF5ADE7" w14:textId="081D496B"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669640D2" w14:textId="2D41A5E9"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4A86AB85" w14:textId="2B6ED8EC"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568493C6" w14:textId="3725FC0E"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474378DB" w14:textId="77777777" w:rsidR="00D7142D" w:rsidRPr="005F6A99" w:rsidRDefault="00D7142D" w:rsidP="00B82D70">
      <w:pPr>
        <w:widowControl w:val="0"/>
        <w:kinsoku w:val="0"/>
        <w:spacing w:before="0" w:after="0"/>
        <w:contextualSpacing/>
        <w:rPr>
          <w:rFonts w:eastAsia="Times New Roman" w:cs="Times New Roman"/>
          <w:color w:val="000000"/>
          <w:sz w:val="22"/>
          <w:szCs w:val="22"/>
          <w:lang w:eastAsia="es-MX"/>
        </w:rPr>
      </w:pPr>
    </w:p>
    <w:p w14:paraId="69D04FEB" w14:textId="335C31F0" w:rsidR="0044578D" w:rsidRPr="005F6A99" w:rsidRDefault="0044578D" w:rsidP="00B82D70">
      <w:pPr>
        <w:widowControl w:val="0"/>
        <w:kinsoku w:val="0"/>
        <w:spacing w:before="0" w:after="0"/>
        <w:contextualSpacing/>
        <w:rPr>
          <w:rFonts w:eastAsia="Times New Roman" w:cs="Times New Roman"/>
          <w:color w:val="000000"/>
          <w:sz w:val="22"/>
          <w:szCs w:val="22"/>
          <w:lang w:eastAsia="es-MX"/>
        </w:rPr>
      </w:pPr>
    </w:p>
    <w:p w14:paraId="772D9AFF" w14:textId="79E1B1D0" w:rsidR="005C4CDB" w:rsidRPr="005F6A99" w:rsidRDefault="005C4CDB" w:rsidP="00B82D70">
      <w:pPr>
        <w:widowControl w:val="0"/>
        <w:kinsoku w:val="0"/>
        <w:spacing w:before="0" w:after="0"/>
        <w:contextualSpacing/>
        <w:rPr>
          <w:rFonts w:eastAsia="Times New Roman" w:cs="Times New Roman"/>
          <w:color w:val="000000"/>
          <w:sz w:val="22"/>
          <w:szCs w:val="22"/>
          <w:lang w:eastAsia="es-MX"/>
        </w:rPr>
      </w:pPr>
    </w:p>
    <w:p w14:paraId="7796E600" w14:textId="77777777" w:rsidR="00C33638" w:rsidRPr="005F6A99" w:rsidRDefault="00C33638" w:rsidP="00C33638">
      <w:pPr>
        <w:widowControl w:val="0"/>
        <w:kinsoku w:val="0"/>
        <w:spacing w:before="0" w:after="0"/>
        <w:contextualSpacing/>
        <w:rPr>
          <w:rFonts w:eastAsia="Calibri" w:cs="Times New Roman"/>
          <w:b/>
          <w:szCs w:val="36"/>
        </w:rPr>
      </w:pPr>
      <w:r w:rsidRPr="005F6A99">
        <w:rPr>
          <w:rFonts w:eastAsia="Calibri" w:cs="Times New Roman"/>
          <w:b/>
          <w:szCs w:val="36"/>
        </w:rPr>
        <w:lastRenderedPageBreak/>
        <w:t>NOTAS AL ESTADO DE FLUJOS DE EFECTIVO</w:t>
      </w:r>
    </w:p>
    <w:p w14:paraId="730282F6" w14:textId="77777777" w:rsidR="00090BDA" w:rsidRPr="005F6A99" w:rsidRDefault="00090BDA" w:rsidP="00C33638">
      <w:pPr>
        <w:widowControl w:val="0"/>
        <w:kinsoku w:val="0"/>
        <w:spacing w:before="0" w:after="0"/>
        <w:contextualSpacing/>
        <w:rPr>
          <w:rFonts w:eastAsia="Calibri" w:cs="Times New Roman"/>
          <w:b/>
          <w:szCs w:val="36"/>
        </w:rPr>
      </w:pPr>
    </w:p>
    <w:p w14:paraId="42670609" w14:textId="204EFE30" w:rsidR="00090BDA" w:rsidRPr="005F6A99" w:rsidRDefault="00090BDA" w:rsidP="00090BDA">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 xml:space="preserve">1.- </w:t>
      </w:r>
      <w:r w:rsidR="00E110DE" w:rsidRPr="005F6A99">
        <w:rPr>
          <w:rFonts w:eastAsia="Times New Roman" w:cs="Times New Roman"/>
          <w:color w:val="000000"/>
          <w:sz w:val="22"/>
          <w:szCs w:val="22"/>
          <w:lang w:eastAsia="es-MX"/>
        </w:rPr>
        <w:t xml:space="preserve">La integración </w:t>
      </w:r>
      <w:r w:rsidRPr="005F6A99">
        <w:rPr>
          <w:rFonts w:eastAsia="Times New Roman" w:cs="Times New Roman"/>
          <w:color w:val="000000"/>
          <w:sz w:val="22"/>
          <w:szCs w:val="22"/>
          <w:lang w:eastAsia="es-MX"/>
        </w:rPr>
        <w:t xml:space="preserve">de </w:t>
      </w:r>
      <w:r w:rsidR="00326E05" w:rsidRPr="005F6A99">
        <w:rPr>
          <w:rFonts w:eastAsia="Times New Roman" w:cs="Times New Roman"/>
          <w:color w:val="000000"/>
          <w:sz w:val="22"/>
          <w:szCs w:val="22"/>
          <w:lang w:eastAsia="es-MX"/>
        </w:rPr>
        <w:t>los saldos inicial y final al 3</w:t>
      </w:r>
      <w:r w:rsidR="00A364F3" w:rsidRPr="005F6A99">
        <w:rPr>
          <w:rFonts w:eastAsia="Times New Roman" w:cs="Times New Roman"/>
          <w:color w:val="000000"/>
          <w:sz w:val="22"/>
          <w:szCs w:val="22"/>
          <w:lang w:eastAsia="es-MX"/>
        </w:rPr>
        <w:t>0</w:t>
      </w:r>
      <w:r w:rsidR="00A52941" w:rsidRPr="005F6A99">
        <w:rPr>
          <w:rFonts w:eastAsia="Times New Roman" w:cs="Times New Roman"/>
          <w:color w:val="000000"/>
          <w:sz w:val="22"/>
          <w:szCs w:val="22"/>
          <w:lang w:eastAsia="es-MX"/>
        </w:rPr>
        <w:t xml:space="preserve"> </w:t>
      </w:r>
      <w:r w:rsidRPr="005F6A99">
        <w:rPr>
          <w:rFonts w:eastAsia="Times New Roman" w:cs="Times New Roman"/>
          <w:color w:val="000000"/>
          <w:sz w:val="22"/>
          <w:szCs w:val="22"/>
          <w:lang w:eastAsia="es-MX"/>
        </w:rPr>
        <w:t xml:space="preserve">de </w:t>
      </w:r>
      <w:r w:rsidR="00121EF0" w:rsidRPr="005F6A99">
        <w:rPr>
          <w:rFonts w:eastAsia="Times New Roman" w:cs="Times New Roman"/>
          <w:color w:val="000000"/>
          <w:sz w:val="22"/>
          <w:szCs w:val="22"/>
          <w:lang w:eastAsia="es-MX"/>
        </w:rPr>
        <w:t>septiembre</w:t>
      </w:r>
      <w:r w:rsidR="00A52941" w:rsidRPr="005F6A99">
        <w:rPr>
          <w:rFonts w:eastAsia="Times New Roman" w:cs="Times New Roman"/>
          <w:color w:val="000000"/>
          <w:sz w:val="22"/>
          <w:szCs w:val="22"/>
          <w:lang w:eastAsia="es-MX"/>
        </w:rPr>
        <w:t xml:space="preserve"> </w:t>
      </w:r>
      <w:r w:rsidRPr="005F6A99">
        <w:rPr>
          <w:rFonts w:eastAsia="Times New Roman" w:cs="Times New Roman"/>
          <w:color w:val="000000"/>
          <w:sz w:val="22"/>
          <w:szCs w:val="22"/>
          <w:lang w:eastAsia="es-MX"/>
        </w:rPr>
        <w:t>de 202</w:t>
      </w:r>
      <w:r w:rsidR="00940E50" w:rsidRPr="005F6A99">
        <w:rPr>
          <w:rFonts w:eastAsia="Times New Roman" w:cs="Times New Roman"/>
          <w:color w:val="000000"/>
          <w:sz w:val="22"/>
          <w:szCs w:val="22"/>
          <w:lang w:eastAsia="es-MX"/>
        </w:rPr>
        <w:t>2</w:t>
      </w:r>
      <w:r w:rsidRPr="005F6A99">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sidRPr="005F6A99">
        <w:rPr>
          <w:rFonts w:eastAsia="Times New Roman" w:cs="Times New Roman"/>
          <w:color w:val="000000"/>
          <w:sz w:val="22"/>
          <w:szCs w:val="22"/>
          <w:lang w:eastAsia="es-MX"/>
        </w:rPr>
        <w:t>la siguiente</w:t>
      </w:r>
      <w:r w:rsidRPr="005F6A99">
        <w:rPr>
          <w:rFonts w:eastAsia="Times New Roman" w:cs="Times New Roman"/>
          <w:color w:val="000000"/>
          <w:sz w:val="22"/>
          <w:szCs w:val="22"/>
          <w:lang w:eastAsia="es-MX"/>
        </w:rPr>
        <w:t xml:space="preserve">:  </w:t>
      </w:r>
    </w:p>
    <w:p w14:paraId="055F6C0D" w14:textId="78A185CE" w:rsidR="004D2F4C" w:rsidRPr="005F6A99" w:rsidRDefault="00BE4DE3" w:rsidP="004D2F4C">
      <w:pPr>
        <w:widowControl w:val="0"/>
        <w:kinsoku w:val="0"/>
        <w:spacing w:before="0" w:after="0"/>
        <w:contextualSpacing/>
        <w:jc w:val="center"/>
        <w:rPr>
          <w:rFonts w:eastAsia="Calibri" w:cs="Times New Roman"/>
          <w:b/>
          <w:sz w:val="12"/>
          <w:szCs w:val="18"/>
        </w:rPr>
      </w:pPr>
      <w:r w:rsidRPr="005F6A99">
        <w:rPr>
          <w:noProof/>
          <w:lang w:val="es-MX" w:eastAsia="es-MX"/>
        </w:rPr>
        <w:drawing>
          <wp:inline distT="0" distB="0" distL="0" distR="0" wp14:anchorId="7D840B68" wp14:editId="6ED4AE21">
            <wp:extent cx="6351270" cy="148780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1270" cy="1487805"/>
                    </a:xfrm>
                    <a:prstGeom prst="rect">
                      <a:avLst/>
                    </a:prstGeom>
                    <a:noFill/>
                    <a:ln>
                      <a:noFill/>
                    </a:ln>
                  </pic:spPr>
                </pic:pic>
              </a:graphicData>
            </a:graphic>
          </wp:inline>
        </w:drawing>
      </w:r>
    </w:p>
    <w:p w14:paraId="3081BEC1" w14:textId="76BD32BE" w:rsidR="00436E24" w:rsidRPr="005F6A99" w:rsidRDefault="00090BDA" w:rsidP="00C33638">
      <w:pPr>
        <w:widowControl w:val="0"/>
        <w:kinsoku w:val="0"/>
        <w:spacing w:before="0" w:after="0"/>
        <w:contextualSpacing/>
        <w:rPr>
          <w:rFonts w:eastAsia="Times New Roman" w:cs="Times New Roman"/>
          <w:color w:val="000000"/>
          <w:sz w:val="22"/>
          <w:szCs w:val="22"/>
          <w:lang w:eastAsia="es-MX"/>
        </w:rPr>
      </w:pPr>
      <w:r w:rsidRPr="005F6A99">
        <w:rPr>
          <w:rFonts w:eastAsia="Times New Roman" w:cs="Times New Roman"/>
          <w:color w:val="000000"/>
          <w:sz w:val="22"/>
          <w:szCs w:val="22"/>
          <w:lang w:eastAsia="es-MX"/>
        </w:rPr>
        <w:t>2.- Conciliación de los Flujos de Efectivo Netos de las Actividades de Operación y la cuenta de Ahorro/Desahorro antes de Rubros Extraordinarios al 3</w:t>
      </w:r>
      <w:r w:rsidR="00AC27FC" w:rsidRPr="005F6A99">
        <w:rPr>
          <w:rFonts w:eastAsia="Times New Roman" w:cs="Times New Roman"/>
          <w:color w:val="000000"/>
          <w:sz w:val="22"/>
          <w:szCs w:val="22"/>
          <w:lang w:eastAsia="es-MX"/>
        </w:rPr>
        <w:t>0</w:t>
      </w:r>
      <w:r w:rsidR="00326E05" w:rsidRPr="005F6A99">
        <w:rPr>
          <w:rFonts w:eastAsia="Times New Roman" w:cs="Times New Roman"/>
          <w:color w:val="000000"/>
          <w:sz w:val="22"/>
          <w:szCs w:val="22"/>
          <w:lang w:eastAsia="es-MX"/>
        </w:rPr>
        <w:t xml:space="preserve"> de</w:t>
      </w:r>
      <w:r w:rsidR="00080C11" w:rsidRPr="005F6A99">
        <w:rPr>
          <w:rFonts w:eastAsia="Times New Roman" w:cs="Times New Roman"/>
          <w:color w:val="000000"/>
          <w:sz w:val="22"/>
          <w:szCs w:val="22"/>
          <w:lang w:eastAsia="es-MX"/>
        </w:rPr>
        <w:t xml:space="preserve"> </w:t>
      </w:r>
      <w:r w:rsidR="008F440F" w:rsidRPr="005F6A99">
        <w:rPr>
          <w:rFonts w:eastAsia="Times New Roman" w:cs="Times New Roman"/>
          <w:color w:val="000000"/>
          <w:sz w:val="22"/>
          <w:szCs w:val="22"/>
          <w:lang w:eastAsia="es-MX"/>
        </w:rPr>
        <w:t>septiembre</w:t>
      </w:r>
      <w:r w:rsidR="00080C11" w:rsidRPr="005F6A99">
        <w:rPr>
          <w:rFonts w:eastAsia="Times New Roman" w:cs="Times New Roman"/>
          <w:color w:val="000000"/>
          <w:sz w:val="22"/>
          <w:szCs w:val="22"/>
          <w:lang w:eastAsia="es-MX"/>
        </w:rPr>
        <w:t xml:space="preserve"> </w:t>
      </w:r>
      <w:r w:rsidR="00951FEC" w:rsidRPr="005F6A99">
        <w:rPr>
          <w:rFonts w:eastAsia="Times New Roman" w:cs="Times New Roman"/>
          <w:color w:val="000000"/>
          <w:sz w:val="22"/>
          <w:szCs w:val="22"/>
          <w:lang w:eastAsia="es-MX"/>
        </w:rPr>
        <w:t>de 202</w:t>
      </w:r>
      <w:r w:rsidR="000A37C4" w:rsidRPr="005F6A99">
        <w:rPr>
          <w:rFonts w:eastAsia="Times New Roman" w:cs="Times New Roman"/>
          <w:color w:val="000000"/>
          <w:sz w:val="22"/>
          <w:szCs w:val="22"/>
          <w:lang w:eastAsia="es-MX"/>
        </w:rPr>
        <w:t>2</w:t>
      </w:r>
      <w:r w:rsidR="00951FEC" w:rsidRPr="005F6A99">
        <w:rPr>
          <w:rFonts w:eastAsia="Times New Roman" w:cs="Times New Roman"/>
          <w:color w:val="000000"/>
          <w:sz w:val="22"/>
          <w:szCs w:val="22"/>
          <w:lang w:eastAsia="es-MX"/>
        </w:rPr>
        <w:t>,</w:t>
      </w:r>
      <w:r w:rsidRPr="005F6A99">
        <w:rPr>
          <w:rFonts w:eastAsia="Times New Roman" w:cs="Times New Roman"/>
          <w:color w:val="000000"/>
          <w:sz w:val="22"/>
          <w:szCs w:val="22"/>
          <w:lang w:eastAsia="es-MX"/>
        </w:rPr>
        <w:t xml:space="preserve"> se detalla a continuación:  </w:t>
      </w:r>
    </w:p>
    <w:p w14:paraId="54AD8584" w14:textId="6A711AB4" w:rsidR="001274E9" w:rsidRPr="005F6A99" w:rsidRDefault="001274E9" w:rsidP="00945134">
      <w:pPr>
        <w:widowControl w:val="0"/>
        <w:kinsoku w:val="0"/>
        <w:spacing w:before="0" w:after="0"/>
        <w:contextualSpacing/>
        <w:rPr>
          <w:rFonts w:eastAsia="Times New Roman" w:cs="Times New Roman"/>
          <w:color w:val="000000"/>
          <w:sz w:val="22"/>
          <w:szCs w:val="22"/>
          <w:lang w:eastAsia="es-MX"/>
        </w:rPr>
      </w:pPr>
    </w:p>
    <w:p w14:paraId="5CF2822D" w14:textId="22E6A7FE" w:rsidR="00945134" w:rsidRPr="005F6A99" w:rsidRDefault="00875454" w:rsidP="00945134">
      <w:pPr>
        <w:widowControl w:val="0"/>
        <w:kinsoku w:val="0"/>
        <w:spacing w:before="0" w:after="0"/>
        <w:contextualSpacing/>
        <w:rPr>
          <w:rFonts w:eastAsia="Times New Roman" w:cs="Times New Roman"/>
          <w:color w:val="000000"/>
          <w:sz w:val="22"/>
          <w:szCs w:val="22"/>
          <w:lang w:eastAsia="es-MX"/>
        </w:rPr>
      </w:pPr>
      <w:r w:rsidRPr="005F6A99">
        <w:rPr>
          <w:noProof/>
          <w:lang w:val="es-MX" w:eastAsia="es-MX"/>
        </w:rPr>
        <w:drawing>
          <wp:inline distT="0" distB="0" distL="0" distR="0" wp14:anchorId="566594EF" wp14:editId="5FAFC198">
            <wp:extent cx="6351270" cy="35318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3531870"/>
                    </a:xfrm>
                    <a:prstGeom prst="rect">
                      <a:avLst/>
                    </a:prstGeom>
                    <a:noFill/>
                    <a:ln>
                      <a:noFill/>
                    </a:ln>
                  </pic:spPr>
                </pic:pic>
              </a:graphicData>
            </a:graphic>
          </wp:inline>
        </w:drawing>
      </w:r>
    </w:p>
    <w:p w14:paraId="0F67F9FE" w14:textId="22EE4663" w:rsidR="008B5CA4" w:rsidRPr="005F6A99" w:rsidRDefault="008B5CA4" w:rsidP="00945134">
      <w:pPr>
        <w:widowControl w:val="0"/>
        <w:kinsoku w:val="0"/>
        <w:spacing w:before="0" w:after="0"/>
        <w:contextualSpacing/>
        <w:rPr>
          <w:rFonts w:eastAsia="Times New Roman" w:cs="Times New Roman"/>
          <w:color w:val="000000"/>
          <w:sz w:val="22"/>
          <w:szCs w:val="22"/>
          <w:lang w:eastAsia="es-MX"/>
        </w:rPr>
      </w:pPr>
    </w:p>
    <w:p w14:paraId="1FE7FCC3" w14:textId="77777777" w:rsidR="00290880" w:rsidRPr="005F6A99" w:rsidRDefault="00C33638" w:rsidP="001274E9">
      <w:pPr>
        <w:widowControl w:val="0"/>
        <w:kinsoku w:val="0"/>
        <w:spacing w:before="0" w:after="0"/>
        <w:contextualSpacing/>
        <w:jc w:val="center"/>
        <w:rPr>
          <w:rFonts w:eastAsia="Calibri" w:cs="Times New Roman"/>
          <w:b/>
          <w:szCs w:val="36"/>
        </w:rPr>
      </w:pPr>
      <w:r w:rsidRPr="005F6A99">
        <w:rPr>
          <w:rFonts w:eastAsia="Calibri" w:cs="Times New Roman"/>
          <w:b/>
          <w:szCs w:val="36"/>
        </w:rPr>
        <w:t>CONCILIACIÓN ENTRE LOS INGRESOS PRESUPUESTARIOS Y CONTABLES, ASÍ COMO ENTRE LOS EGRESOS PRESUPUESTARIOS Y LOS GASTOS CO</w:t>
      </w:r>
      <w:r w:rsidR="00AC67B5" w:rsidRPr="005F6A99">
        <w:rPr>
          <w:rFonts w:eastAsia="Calibri" w:cs="Times New Roman"/>
          <w:b/>
          <w:szCs w:val="36"/>
        </w:rPr>
        <w:t>N</w:t>
      </w:r>
      <w:r w:rsidRPr="005F6A99">
        <w:rPr>
          <w:rFonts w:eastAsia="Calibri" w:cs="Times New Roman"/>
          <w:b/>
          <w:szCs w:val="36"/>
        </w:rPr>
        <w:t>TABLES</w:t>
      </w:r>
    </w:p>
    <w:p w14:paraId="17FD829E" w14:textId="7C0EB1E4" w:rsidR="00583D0D" w:rsidRPr="005F6A99" w:rsidRDefault="00583D0D" w:rsidP="00456403">
      <w:pPr>
        <w:widowControl w:val="0"/>
        <w:kinsoku w:val="0"/>
        <w:spacing w:before="0" w:after="0"/>
        <w:contextualSpacing/>
        <w:jc w:val="center"/>
        <w:rPr>
          <w:rFonts w:eastAsia="Calibri" w:cs="Times New Roman"/>
          <w:b/>
          <w:sz w:val="22"/>
          <w:szCs w:val="22"/>
        </w:rPr>
      </w:pPr>
    </w:p>
    <w:p w14:paraId="631A62AB" w14:textId="77777777" w:rsidR="00583D0D" w:rsidRPr="005F6A99" w:rsidRDefault="00583D0D" w:rsidP="00AA699B">
      <w:pPr>
        <w:widowControl w:val="0"/>
        <w:kinsoku w:val="0"/>
        <w:spacing w:before="0" w:after="0"/>
        <w:contextualSpacing/>
        <w:rPr>
          <w:rFonts w:eastAsia="Calibri" w:cs="Times New Roman"/>
          <w:b/>
          <w:sz w:val="12"/>
          <w:szCs w:val="12"/>
        </w:rPr>
      </w:pPr>
    </w:p>
    <w:p w14:paraId="06481636" w14:textId="240C2654" w:rsidR="00583D0D" w:rsidRPr="005F6A99" w:rsidRDefault="0010531F" w:rsidP="00C33638">
      <w:pPr>
        <w:widowControl w:val="0"/>
        <w:kinsoku w:val="0"/>
        <w:spacing w:before="0" w:after="0"/>
        <w:contextualSpacing/>
        <w:jc w:val="center"/>
        <w:rPr>
          <w:rFonts w:eastAsia="Calibri" w:cs="Times New Roman"/>
          <w:b/>
          <w:sz w:val="12"/>
          <w:szCs w:val="12"/>
        </w:rPr>
      </w:pPr>
      <w:r w:rsidRPr="005F6A99">
        <w:rPr>
          <w:noProof/>
          <w:lang w:val="es-MX" w:eastAsia="es-MX"/>
        </w:rPr>
        <w:drawing>
          <wp:inline distT="0" distB="0" distL="0" distR="0" wp14:anchorId="0127299B" wp14:editId="0FA8B2AE">
            <wp:extent cx="6351270" cy="562737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51270" cy="5627370"/>
                    </a:xfrm>
                    <a:prstGeom prst="rect">
                      <a:avLst/>
                    </a:prstGeom>
                    <a:noFill/>
                    <a:ln>
                      <a:noFill/>
                    </a:ln>
                  </pic:spPr>
                </pic:pic>
              </a:graphicData>
            </a:graphic>
          </wp:inline>
        </w:drawing>
      </w:r>
    </w:p>
    <w:p w14:paraId="1FEEEEF1" w14:textId="77777777" w:rsidR="001274E9" w:rsidRPr="005F6A99" w:rsidRDefault="001274E9" w:rsidP="00456403">
      <w:pPr>
        <w:widowControl w:val="0"/>
        <w:kinsoku w:val="0"/>
        <w:spacing w:before="0" w:after="0"/>
        <w:contextualSpacing/>
        <w:rPr>
          <w:rFonts w:eastAsia="Calibri" w:cs="Times New Roman"/>
          <w:b/>
          <w:sz w:val="12"/>
          <w:szCs w:val="12"/>
        </w:rPr>
      </w:pPr>
    </w:p>
    <w:p w14:paraId="2C515FE7" w14:textId="562A0A9F" w:rsidR="00703A3F" w:rsidRPr="005F6A99" w:rsidRDefault="00703A3F" w:rsidP="00C33638">
      <w:pPr>
        <w:widowControl w:val="0"/>
        <w:kinsoku w:val="0"/>
        <w:spacing w:before="0" w:after="0"/>
        <w:contextualSpacing/>
        <w:jc w:val="center"/>
        <w:rPr>
          <w:rFonts w:eastAsia="Calibri" w:cs="Times New Roman"/>
          <w:b/>
          <w:noProof/>
          <w:sz w:val="12"/>
          <w:szCs w:val="12"/>
          <w:lang w:val="es-MX" w:eastAsia="es-MX"/>
        </w:rPr>
      </w:pPr>
    </w:p>
    <w:p w14:paraId="25E64796" w14:textId="6BFE8534" w:rsidR="00603D9F" w:rsidRPr="005F6A99" w:rsidRDefault="00603D9F" w:rsidP="00C33638">
      <w:pPr>
        <w:widowControl w:val="0"/>
        <w:kinsoku w:val="0"/>
        <w:spacing w:before="0" w:after="0"/>
        <w:contextualSpacing/>
        <w:jc w:val="center"/>
        <w:rPr>
          <w:rFonts w:eastAsia="Calibri" w:cs="Times New Roman"/>
          <w:b/>
          <w:noProof/>
          <w:sz w:val="12"/>
          <w:szCs w:val="12"/>
          <w:lang w:val="es-MX" w:eastAsia="es-MX"/>
        </w:rPr>
      </w:pPr>
    </w:p>
    <w:p w14:paraId="1E4904DE" w14:textId="2C982447" w:rsidR="00603D9F" w:rsidRPr="005F6A99" w:rsidRDefault="00603D9F" w:rsidP="00C33638">
      <w:pPr>
        <w:widowControl w:val="0"/>
        <w:kinsoku w:val="0"/>
        <w:spacing w:before="0" w:after="0"/>
        <w:contextualSpacing/>
        <w:jc w:val="center"/>
        <w:rPr>
          <w:rFonts w:eastAsia="Calibri" w:cs="Times New Roman"/>
          <w:b/>
          <w:sz w:val="12"/>
          <w:szCs w:val="12"/>
        </w:rPr>
      </w:pPr>
    </w:p>
    <w:p w14:paraId="308A97B6" w14:textId="7468C046" w:rsidR="00940E50" w:rsidRPr="005F6A99" w:rsidRDefault="00B931C8" w:rsidP="006F18FE">
      <w:pPr>
        <w:spacing w:before="0" w:after="0"/>
        <w:rPr>
          <w:rFonts w:eastAsia="Calibri" w:cs="Times New Roman"/>
          <w:b/>
          <w:sz w:val="28"/>
          <w:szCs w:val="28"/>
        </w:rPr>
      </w:pPr>
      <w:r w:rsidRPr="005F6A99">
        <w:rPr>
          <w:noProof/>
          <w:lang w:val="es-MX" w:eastAsia="es-MX"/>
        </w:rPr>
        <w:lastRenderedPageBreak/>
        <w:drawing>
          <wp:inline distT="0" distB="0" distL="0" distR="0" wp14:anchorId="71A53F47" wp14:editId="3B0141BF">
            <wp:extent cx="6351270" cy="789178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270" cy="7891780"/>
                    </a:xfrm>
                    <a:prstGeom prst="rect">
                      <a:avLst/>
                    </a:prstGeom>
                    <a:noFill/>
                    <a:ln>
                      <a:noFill/>
                    </a:ln>
                  </pic:spPr>
                </pic:pic>
              </a:graphicData>
            </a:graphic>
          </wp:inline>
        </w:drawing>
      </w:r>
    </w:p>
    <w:p w14:paraId="07249F6D" w14:textId="4EC33C8A" w:rsidR="004A0245" w:rsidRPr="005F6A99" w:rsidRDefault="00875454" w:rsidP="004A0245">
      <w:pPr>
        <w:spacing w:before="0" w:after="0"/>
        <w:jc w:val="center"/>
        <w:rPr>
          <w:rFonts w:eastAsia="Calibri" w:cs="Times New Roman"/>
          <w:b/>
          <w:sz w:val="28"/>
          <w:szCs w:val="28"/>
        </w:rPr>
      </w:pPr>
      <w:r w:rsidRPr="005F6A99">
        <w:rPr>
          <w:rFonts w:eastAsia="Calibri" w:cs="Times New Roman"/>
          <w:b/>
          <w:sz w:val="28"/>
          <w:szCs w:val="28"/>
        </w:rPr>
        <w:lastRenderedPageBreak/>
        <w:t xml:space="preserve">B) </w:t>
      </w:r>
      <w:r w:rsidR="004A0245" w:rsidRPr="005F6A99">
        <w:rPr>
          <w:rFonts w:eastAsia="Calibri" w:cs="Times New Roman"/>
          <w:b/>
          <w:sz w:val="28"/>
          <w:szCs w:val="28"/>
        </w:rPr>
        <w:t>NOTAS DE MEMORIA (CUENTAS DE ORDEN)</w:t>
      </w:r>
    </w:p>
    <w:p w14:paraId="03FF5CB6" w14:textId="77777777" w:rsidR="004A7A74" w:rsidRPr="005F6A99" w:rsidRDefault="004A7A74" w:rsidP="004A0245">
      <w:pPr>
        <w:spacing w:before="0" w:after="0"/>
        <w:jc w:val="left"/>
        <w:rPr>
          <w:rFonts w:eastAsia="Calibri" w:cs="Times New Roman"/>
          <w:bCs/>
          <w:sz w:val="22"/>
          <w:szCs w:val="22"/>
        </w:rPr>
      </w:pPr>
    </w:p>
    <w:p w14:paraId="769458ED" w14:textId="77777777" w:rsidR="004A7A74" w:rsidRPr="005F6A99" w:rsidRDefault="004A7A74" w:rsidP="004A7A74">
      <w:pPr>
        <w:spacing w:before="0" w:after="0"/>
        <w:rPr>
          <w:rFonts w:eastAsia="Calibri" w:cs="Times New Roman"/>
          <w:bCs/>
          <w:sz w:val="22"/>
          <w:szCs w:val="22"/>
        </w:rPr>
      </w:pPr>
      <w:r w:rsidRPr="005F6A99">
        <w:rPr>
          <w:rFonts w:eastAsia="Calibri" w:cs="Times New Roman"/>
          <w:bCs/>
          <w:sz w:val="22"/>
          <w:szCs w:val="22"/>
        </w:rPr>
        <w:t>Se informa de manera agrupada las cuentas de orden contables y cuentas de orden presupuestario, considerando al menos lo siguientes:</w:t>
      </w:r>
    </w:p>
    <w:p w14:paraId="34247FBF" w14:textId="77777777" w:rsidR="008830EE" w:rsidRPr="005F6A99" w:rsidRDefault="008830EE" w:rsidP="004A7A74">
      <w:pPr>
        <w:spacing w:before="0" w:after="0"/>
        <w:rPr>
          <w:rFonts w:eastAsia="Calibri" w:cs="Times New Roman"/>
          <w:bCs/>
          <w:sz w:val="22"/>
          <w:szCs w:val="22"/>
        </w:rPr>
      </w:pPr>
    </w:p>
    <w:p w14:paraId="7745A1C4" w14:textId="77777777" w:rsidR="004A7A74" w:rsidRPr="005F6A99" w:rsidRDefault="004A7A74" w:rsidP="004A7A74">
      <w:pPr>
        <w:spacing w:before="0" w:after="0"/>
        <w:rPr>
          <w:rFonts w:eastAsia="Calibri" w:cs="Times New Roman"/>
          <w:bCs/>
          <w:sz w:val="22"/>
          <w:szCs w:val="22"/>
        </w:rPr>
      </w:pPr>
      <w:r w:rsidRPr="005F6A99">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77777777" w:rsidR="004A7A74" w:rsidRPr="005F6A99" w:rsidRDefault="004A7A74" w:rsidP="004A7A74">
      <w:pPr>
        <w:spacing w:before="0" w:after="0"/>
        <w:rPr>
          <w:rFonts w:eastAsia="Calibri" w:cs="Times New Roman"/>
          <w:bCs/>
          <w:sz w:val="22"/>
          <w:szCs w:val="22"/>
        </w:rPr>
      </w:pPr>
    </w:p>
    <w:p w14:paraId="7173A452" w14:textId="77777777" w:rsidR="004A7A74" w:rsidRPr="005F6A99" w:rsidRDefault="004A7A74" w:rsidP="004A7A74">
      <w:pPr>
        <w:spacing w:before="0" w:after="0"/>
        <w:rPr>
          <w:rFonts w:eastAsia="Calibri" w:cs="Times New Roman"/>
          <w:bCs/>
          <w:sz w:val="22"/>
          <w:szCs w:val="22"/>
        </w:rPr>
      </w:pPr>
      <w:r w:rsidRPr="005F6A99">
        <w:rPr>
          <w:rFonts w:eastAsia="Calibri" w:cs="Times New Roman"/>
          <w:bCs/>
          <w:sz w:val="22"/>
          <w:szCs w:val="22"/>
        </w:rPr>
        <w:t>2.- Por tipo de emisión de instrumento: monto, tasas y vencimiento: No Aplica</w:t>
      </w:r>
    </w:p>
    <w:p w14:paraId="7C73C7BC" w14:textId="77777777" w:rsidR="008830EE" w:rsidRPr="005F6A99" w:rsidRDefault="008830EE" w:rsidP="004A7A74">
      <w:pPr>
        <w:spacing w:before="0" w:after="0"/>
        <w:rPr>
          <w:rFonts w:eastAsia="Calibri" w:cs="Times New Roman"/>
          <w:bCs/>
          <w:sz w:val="22"/>
          <w:szCs w:val="22"/>
        </w:rPr>
      </w:pPr>
    </w:p>
    <w:p w14:paraId="00C27182" w14:textId="77777777" w:rsidR="004A7A74" w:rsidRPr="005F6A99" w:rsidRDefault="004A7A74" w:rsidP="004A7A74">
      <w:pPr>
        <w:spacing w:before="0" w:after="0"/>
        <w:rPr>
          <w:rFonts w:eastAsia="Calibri" w:cs="Times New Roman"/>
          <w:bCs/>
          <w:sz w:val="22"/>
          <w:szCs w:val="22"/>
        </w:rPr>
      </w:pPr>
      <w:r w:rsidRPr="005F6A99">
        <w:rPr>
          <w:rFonts w:eastAsia="Calibri" w:cs="Times New Roman"/>
          <w:bCs/>
          <w:sz w:val="22"/>
          <w:szCs w:val="22"/>
        </w:rPr>
        <w:t>3.- Los contratos firmados de construcciones por tipo de contrato: No Aplica</w:t>
      </w:r>
    </w:p>
    <w:p w14:paraId="20D12CCF" w14:textId="1E8B353B" w:rsidR="00AA699B" w:rsidRPr="005F6A99" w:rsidRDefault="00AA699B" w:rsidP="004A0245">
      <w:pPr>
        <w:spacing w:before="0" w:after="0"/>
        <w:jc w:val="left"/>
        <w:rPr>
          <w:rFonts w:eastAsia="Calibri" w:cs="Times New Roman"/>
          <w:bCs/>
          <w:sz w:val="22"/>
          <w:szCs w:val="22"/>
        </w:rPr>
      </w:pPr>
    </w:p>
    <w:p w14:paraId="5D85C863" w14:textId="70656164" w:rsidR="00E60996" w:rsidRPr="005F6A99" w:rsidRDefault="00E60996" w:rsidP="004A0245">
      <w:pPr>
        <w:spacing w:before="0" w:after="0"/>
        <w:jc w:val="left"/>
        <w:rPr>
          <w:rFonts w:eastAsia="Calibri" w:cs="Times New Roman"/>
          <w:bCs/>
          <w:sz w:val="22"/>
          <w:szCs w:val="22"/>
        </w:rPr>
      </w:pPr>
    </w:p>
    <w:p w14:paraId="7C563AF3" w14:textId="132085C6" w:rsidR="00E60996" w:rsidRPr="005F6A99" w:rsidRDefault="00E60996" w:rsidP="004A0245">
      <w:pPr>
        <w:spacing w:before="0" w:after="0"/>
        <w:jc w:val="left"/>
        <w:rPr>
          <w:rFonts w:eastAsia="Calibri" w:cs="Times New Roman"/>
          <w:bCs/>
          <w:sz w:val="22"/>
          <w:szCs w:val="22"/>
        </w:rPr>
      </w:pPr>
    </w:p>
    <w:p w14:paraId="61B8BC64" w14:textId="072042C4" w:rsidR="00E60996" w:rsidRPr="005F6A99" w:rsidRDefault="00E60996" w:rsidP="004A0245">
      <w:pPr>
        <w:spacing w:before="0" w:after="0"/>
        <w:jc w:val="left"/>
        <w:rPr>
          <w:rFonts w:eastAsia="Calibri" w:cs="Times New Roman"/>
          <w:bCs/>
          <w:sz w:val="22"/>
          <w:szCs w:val="22"/>
        </w:rPr>
      </w:pPr>
    </w:p>
    <w:p w14:paraId="7BAE0508" w14:textId="5E040E13" w:rsidR="00E60996" w:rsidRPr="005F6A99" w:rsidRDefault="00E60996" w:rsidP="004A0245">
      <w:pPr>
        <w:spacing w:before="0" w:after="0"/>
        <w:jc w:val="left"/>
        <w:rPr>
          <w:rFonts w:eastAsia="Calibri" w:cs="Times New Roman"/>
          <w:bCs/>
          <w:sz w:val="22"/>
          <w:szCs w:val="22"/>
        </w:rPr>
      </w:pPr>
    </w:p>
    <w:p w14:paraId="5C9CC6A4" w14:textId="057D7652" w:rsidR="00E60996" w:rsidRPr="005F6A99" w:rsidRDefault="00E60996" w:rsidP="004A0245">
      <w:pPr>
        <w:spacing w:before="0" w:after="0"/>
        <w:jc w:val="left"/>
        <w:rPr>
          <w:rFonts w:eastAsia="Calibri" w:cs="Times New Roman"/>
          <w:bCs/>
          <w:sz w:val="22"/>
          <w:szCs w:val="22"/>
        </w:rPr>
      </w:pPr>
    </w:p>
    <w:p w14:paraId="3930DB1E" w14:textId="2252D1A3" w:rsidR="00E60996" w:rsidRPr="005F6A99" w:rsidRDefault="00E60996" w:rsidP="004A0245">
      <w:pPr>
        <w:spacing w:before="0" w:after="0"/>
        <w:jc w:val="left"/>
        <w:rPr>
          <w:rFonts w:eastAsia="Calibri" w:cs="Times New Roman"/>
          <w:bCs/>
          <w:sz w:val="22"/>
          <w:szCs w:val="22"/>
        </w:rPr>
      </w:pPr>
    </w:p>
    <w:p w14:paraId="5E41157B" w14:textId="01E20387" w:rsidR="00E60996" w:rsidRPr="005F6A99" w:rsidRDefault="00E60996" w:rsidP="004A0245">
      <w:pPr>
        <w:spacing w:before="0" w:after="0"/>
        <w:jc w:val="left"/>
        <w:rPr>
          <w:rFonts w:eastAsia="Calibri" w:cs="Times New Roman"/>
          <w:bCs/>
          <w:sz w:val="22"/>
          <w:szCs w:val="22"/>
        </w:rPr>
      </w:pPr>
    </w:p>
    <w:p w14:paraId="56ADFE79" w14:textId="6C085D25" w:rsidR="00E60996" w:rsidRPr="005F6A99" w:rsidRDefault="00E60996" w:rsidP="004A0245">
      <w:pPr>
        <w:spacing w:before="0" w:after="0"/>
        <w:jc w:val="left"/>
        <w:rPr>
          <w:rFonts w:eastAsia="Calibri" w:cs="Times New Roman"/>
          <w:bCs/>
          <w:sz w:val="22"/>
          <w:szCs w:val="22"/>
        </w:rPr>
      </w:pPr>
    </w:p>
    <w:p w14:paraId="17EA4895" w14:textId="11EF4496" w:rsidR="00E60996" w:rsidRPr="005F6A99" w:rsidRDefault="00E60996" w:rsidP="004A0245">
      <w:pPr>
        <w:spacing w:before="0" w:after="0"/>
        <w:jc w:val="left"/>
        <w:rPr>
          <w:rFonts w:eastAsia="Calibri" w:cs="Times New Roman"/>
          <w:bCs/>
          <w:sz w:val="22"/>
          <w:szCs w:val="22"/>
        </w:rPr>
      </w:pPr>
    </w:p>
    <w:p w14:paraId="2326FAC5" w14:textId="296F2DF6" w:rsidR="00E60996" w:rsidRPr="005F6A99" w:rsidRDefault="00E60996" w:rsidP="004A0245">
      <w:pPr>
        <w:spacing w:before="0" w:after="0"/>
        <w:jc w:val="left"/>
        <w:rPr>
          <w:rFonts w:eastAsia="Calibri" w:cs="Times New Roman"/>
          <w:bCs/>
          <w:sz w:val="22"/>
          <w:szCs w:val="22"/>
        </w:rPr>
      </w:pPr>
    </w:p>
    <w:p w14:paraId="2942FA67" w14:textId="77777777" w:rsidR="00E60996" w:rsidRPr="005F6A99" w:rsidRDefault="00E60996" w:rsidP="004A0245">
      <w:pPr>
        <w:spacing w:before="0" w:after="0"/>
        <w:jc w:val="left"/>
        <w:rPr>
          <w:rFonts w:eastAsia="Calibri" w:cs="Times New Roman"/>
          <w:bCs/>
          <w:sz w:val="22"/>
          <w:szCs w:val="22"/>
        </w:rPr>
      </w:pPr>
    </w:p>
    <w:p w14:paraId="508CC0A2" w14:textId="51637D64" w:rsidR="00C33638" w:rsidRPr="005F6A99" w:rsidRDefault="00060F63" w:rsidP="00C33638">
      <w:pPr>
        <w:spacing w:before="0" w:after="0"/>
        <w:jc w:val="center"/>
        <w:rPr>
          <w:rFonts w:eastAsia="Calibri" w:cs="Times New Roman"/>
          <w:b/>
          <w:sz w:val="28"/>
          <w:szCs w:val="28"/>
        </w:rPr>
      </w:pPr>
      <w:r w:rsidRPr="005F6A99">
        <w:rPr>
          <w:rFonts w:eastAsia="Calibri" w:cs="Times New Roman"/>
          <w:b/>
          <w:sz w:val="28"/>
          <w:szCs w:val="28"/>
        </w:rPr>
        <w:lastRenderedPageBreak/>
        <w:t xml:space="preserve">C) </w:t>
      </w:r>
      <w:r w:rsidR="00C33638" w:rsidRPr="005F6A99">
        <w:rPr>
          <w:rFonts w:eastAsia="Calibri" w:cs="Times New Roman"/>
          <w:b/>
          <w:sz w:val="28"/>
          <w:szCs w:val="28"/>
        </w:rPr>
        <w:t>NOTAS DE GESTIÓN ADMINISTRATIVA</w:t>
      </w:r>
    </w:p>
    <w:p w14:paraId="42C6F944" w14:textId="77777777" w:rsidR="005D09F9" w:rsidRPr="005F6A99" w:rsidRDefault="005D09F9" w:rsidP="005D09F9">
      <w:pPr>
        <w:spacing w:before="0" w:after="0"/>
        <w:rPr>
          <w:rFonts w:ascii="GalanoGrotesque-ExtraLight" w:eastAsia="Calibri" w:hAnsi="GalanoGrotesque-ExtraLight" w:cs="Times New Roman"/>
          <w:b/>
          <w:sz w:val="22"/>
          <w:szCs w:val="22"/>
        </w:rPr>
      </w:pPr>
    </w:p>
    <w:p w14:paraId="66558D8D" w14:textId="77777777" w:rsidR="005D09F9" w:rsidRPr="005F6A99" w:rsidRDefault="005D09F9" w:rsidP="005D09F9">
      <w:pPr>
        <w:spacing w:before="0" w:after="0"/>
        <w:rPr>
          <w:rFonts w:eastAsia="Calibri" w:cs="Times New Roman"/>
          <w:b/>
          <w:bCs/>
          <w:sz w:val="22"/>
          <w:szCs w:val="22"/>
        </w:rPr>
      </w:pPr>
      <w:r w:rsidRPr="005F6A99">
        <w:rPr>
          <w:rFonts w:eastAsia="Calibri" w:cs="Times New Roman"/>
          <w:b/>
          <w:bCs/>
          <w:sz w:val="22"/>
          <w:szCs w:val="22"/>
        </w:rPr>
        <w:t>1.</w:t>
      </w:r>
      <w:r w:rsidRPr="005F6A99">
        <w:rPr>
          <w:rFonts w:eastAsia="Calibri" w:cs="Times New Roman"/>
          <w:b/>
          <w:bCs/>
          <w:sz w:val="22"/>
          <w:szCs w:val="22"/>
        </w:rPr>
        <w:tab/>
        <w:t>Introducción</w:t>
      </w:r>
    </w:p>
    <w:p w14:paraId="7B2450FB" w14:textId="77777777" w:rsidR="00C33638" w:rsidRPr="005F6A99" w:rsidRDefault="00C33638" w:rsidP="005D09F9">
      <w:pPr>
        <w:spacing w:before="0" w:after="0"/>
        <w:jc w:val="left"/>
        <w:rPr>
          <w:rFonts w:eastAsia="Calibri" w:cs="Times New Roman"/>
          <w:sz w:val="22"/>
          <w:szCs w:val="22"/>
        </w:rPr>
      </w:pPr>
    </w:p>
    <w:p w14:paraId="3B43A991" w14:textId="77777777" w:rsidR="00210E70" w:rsidRPr="005F6A99" w:rsidRDefault="00210E70" w:rsidP="00210E70">
      <w:pPr>
        <w:spacing w:after="0"/>
        <w:rPr>
          <w:rFonts w:eastAsia="Calibri" w:cs="Times New Roman"/>
        </w:rPr>
      </w:pPr>
      <w:r w:rsidRPr="005F6A99">
        <w:rPr>
          <w:rFonts w:eastAsia="Calibri" w:cs="Times New Roman"/>
          <w:sz w:val="22"/>
          <w:szCs w:val="22"/>
        </w:rPr>
        <w:t xml:space="preserve">Los Estados Financieros de los entes públicos, proveen de información financiera a los principales usuarios </w:t>
      </w:r>
      <w:r w:rsidR="00EF1DB9" w:rsidRPr="005F6A99">
        <w:rPr>
          <w:rFonts w:eastAsia="Calibri" w:cs="Times New Roman"/>
          <w:sz w:val="22"/>
          <w:szCs w:val="22"/>
        </w:rPr>
        <w:t>de la misma, entre ellos está el</w:t>
      </w:r>
      <w:r w:rsidRPr="005F6A99">
        <w:rPr>
          <w:rFonts w:eastAsia="Calibri" w:cs="Times New Roman"/>
          <w:sz w:val="22"/>
          <w:szCs w:val="22"/>
        </w:rPr>
        <w:t xml:space="preserve"> H. Congreso del Estado de Michoacán, así como la ciudadanía en general que demanda información sobre la situación contable del Poder Ejecutivo. </w:t>
      </w:r>
    </w:p>
    <w:p w14:paraId="2DCCE73C" w14:textId="77777777" w:rsidR="00210E70" w:rsidRPr="005F6A99" w:rsidRDefault="00210E70" w:rsidP="00210E70">
      <w:pPr>
        <w:spacing w:after="0"/>
        <w:rPr>
          <w:rFonts w:eastAsia="Calibri" w:cs="Times New Roman"/>
          <w:sz w:val="22"/>
          <w:szCs w:val="22"/>
        </w:rPr>
      </w:pPr>
    </w:p>
    <w:p w14:paraId="28CFAE2F" w14:textId="40E2C342" w:rsidR="00210E70" w:rsidRPr="005F6A99" w:rsidRDefault="00210E70" w:rsidP="00210E70">
      <w:pPr>
        <w:spacing w:after="0"/>
        <w:rPr>
          <w:rFonts w:eastAsia="Calibri" w:cs="Times New Roman"/>
        </w:rPr>
      </w:pPr>
      <w:r w:rsidRPr="005F6A99">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w:t>
      </w:r>
      <w:r w:rsidR="00AC27FC" w:rsidRPr="005F6A99">
        <w:rPr>
          <w:rFonts w:eastAsia="Calibri" w:cs="Times New Roman"/>
          <w:sz w:val="22"/>
          <w:szCs w:val="22"/>
        </w:rPr>
        <w:t>0</w:t>
      </w:r>
      <w:r w:rsidRPr="005F6A99">
        <w:rPr>
          <w:rFonts w:eastAsia="Calibri" w:cs="Times New Roman"/>
          <w:sz w:val="22"/>
          <w:szCs w:val="22"/>
        </w:rPr>
        <w:t xml:space="preserve"> de </w:t>
      </w:r>
      <w:r w:rsidR="001F270E" w:rsidRPr="005F6A99">
        <w:rPr>
          <w:rFonts w:eastAsia="Calibri" w:cs="Times New Roman"/>
          <w:sz w:val="22"/>
          <w:szCs w:val="22"/>
        </w:rPr>
        <w:t>septiembre</w:t>
      </w:r>
      <w:r w:rsidRPr="005F6A99">
        <w:rPr>
          <w:rFonts w:eastAsia="Calibri" w:cs="Times New Roman"/>
          <w:sz w:val="22"/>
          <w:szCs w:val="22"/>
        </w:rPr>
        <w:t xml:space="preserve"> de 202</w:t>
      </w:r>
      <w:r w:rsidR="006F18FE" w:rsidRPr="005F6A99">
        <w:rPr>
          <w:rFonts w:eastAsia="Calibri" w:cs="Times New Roman"/>
          <w:sz w:val="22"/>
          <w:szCs w:val="22"/>
        </w:rPr>
        <w:t>2</w:t>
      </w:r>
      <w:r w:rsidRPr="005F6A99">
        <w:rPr>
          <w:rFonts w:eastAsia="Calibri" w:cs="Times New Roman"/>
          <w:sz w:val="22"/>
          <w:szCs w:val="22"/>
        </w:rPr>
        <w:t xml:space="preserve">, y que se consideraron en la elaboración de los Estados Financieros para la mayor comprensión de los mismos y sus particularidades. </w:t>
      </w:r>
    </w:p>
    <w:p w14:paraId="4259FC31" w14:textId="77777777" w:rsidR="00210E70" w:rsidRPr="005F6A99" w:rsidRDefault="00210E70" w:rsidP="00210E70">
      <w:pPr>
        <w:spacing w:after="0"/>
        <w:rPr>
          <w:rFonts w:eastAsia="Calibri" w:cs="Times New Roman"/>
          <w:sz w:val="22"/>
          <w:szCs w:val="22"/>
        </w:rPr>
      </w:pPr>
    </w:p>
    <w:p w14:paraId="112CC9B5" w14:textId="77777777" w:rsidR="00210E70" w:rsidRPr="005F6A99" w:rsidRDefault="00210E70" w:rsidP="00210E70">
      <w:pPr>
        <w:spacing w:after="0"/>
        <w:rPr>
          <w:rFonts w:eastAsia="Calibri" w:cs="Times New Roman"/>
        </w:rPr>
      </w:pPr>
      <w:r w:rsidRPr="005F6A99">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7E42D96D" w14:textId="77777777" w:rsidR="00210E70" w:rsidRPr="005F6A99" w:rsidRDefault="00210E70" w:rsidP="005D09F9">
      <w:pPr>
        <w:spacing w:before="0" w:after="0"/>
        <w:jc w:val="left"/>
        <w:rPr>
          <w:rFonts w:eastAsia="Calibri" w:cs="Times New Roman"/>
          <w:sz w:val="22"/>
          <w:szCs w:val="22"/>
        </w:rPr>
      </w:pPr>
    </w:p>
    <w:p w14:paraId="659C1F09" w14:textId="77777777" w:rsidR="00C33638" w:rsidRPr="005F6A99" w:rsidRDefault="00C33638" w:rsidP="00C33638">
      <w:pPr>
        <w:spacing w:before="0" w:after="0"/>
        <w:rPr>
          <w:rFonts w:eastAsia="Calibri" w:cs="Times New Roman"/>
          <w:sz w:val="22"/>
          <w:szCs w:val="22"/>
        </w:rPr>
      </w:pPr>
      <w:r w:rsidRPr="005F6A99">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w:t>
      </w:r>
      <w:r w:rsidRPr="005F6A99">
        <w:rPr>
          <w:rFonts w:eastAsia="Calibri" w:cs="Times New Roman"/>
          <w:sz w:val="22"/>
          <w:szCs w:val="22"/>
        </w:rPr>
        <w:lastRenderedPageBreak/>
        <w:t xml:space="preserve">modifiquen el Patrimonio, considerando en su registro contable las características administrativas descentralizadas. </w:t>
      </w:r>
    </w:p>
    <w:p w14:paraId="315F809A" w14:textId="77777777" w:rsidR="00C33638" w:rsidRPr="005F6A99" w:rsidRDefault="00C33638" w:rsidP="00C33638">
      <w:pPr>
        <w:spacing w:before="0" w:after="0"/>
        <w:rPr>
          <w:rFonts w:eastAsia="Calibri" w:cs="Times New Roman"/>
          <w:sz w:val="22"/>
          <w:szCs w:val="22"/>
        </w:rPr>
      </w:pPr>
    </w:p>
    <w:p w14:paraId="58204688" w14:textId="5669A380" w:rsidR="00EF1DB9" w:rsidRPr="005F6A99" w:rsidRDefault="00C33638" w:rsidP="00C33638">
      <w:pPr>
        <w:spacing w:before="0" w:after="0"/>
        <w:rPr>
          <w:rFonts w:eastAsia="Calibri" w:cs="Times New Roman"/>
          <w:sz w:val="22"/>
          <w:szCs w:val="22"/>
        </w:rPr>
      </w:pPr>
      <w:r w:rsidRPr="005F6A99">
        <w:rPr>
          <w:rFonts w:eastAsia="Calibri" w:cs="Times New Roman"/>
          <w:sz w:val="22"/>
          <w:szCs w:val="22"/>
        </w:rPr>
        <w:t>En este contexto, en la normativa aplicable se establecen registros que permiten identificar la interrelación de las operaciones.</w:t>
      </w:r>
    </w:p>
    <w:p w14:paraId="2DB24E40" w14:textId="2C70C48B" w:rsidR="001F270E" w:rsidRPr="005F6A99" w:rsidRDefault="001F270E" w:rsidP="00C33638">
      <w:pPr>
        <w:spacing w:before="0" w:after="0"/>
        <w:rPr>
          <w:rFonts w:eastAsia="Calibri" w:cs="Times New Roman"/>
          <w:sz w:val="22"/>
          <w:szCs w:val="22"/>
        </w:rPr>
      </w:pPr>
    </w:p>
    <w:p w14:paraId="188F41C1" w14:textId="1D38AEC2" w:rsidR="00A22C65" w:rsidRPr="005F6A99" w:rsidRDefault="001F270E" w:rsidP="00C33638">
      <w:pPr>
        <w:spacing w:before="0" w:after="0"/>
        <w:rPr>
          <w:rFonts w:eastAsia="Calibri" w:cs="Times New Roman"/>
          <w:b/>
          <w:bCs/>
          <w:sz w:val="22"/>
          <w:szCs w:val="22"/>
        </w:rPr>
      </w:pPr>
      <w:r w:rsidRPr="005F6A99">
        <w:rPr>
          <w:rFonts w:eastAsia="Calibri" w:cs="Times New Roman"/>
          <w:b/>
          <w:bCs/>
          <w:sz w:val="22"/>
          <w:szCs w:val="22"/>
        </w:rPr>
        <w:t>2.- Panorama económico y financiero</w:t>
      </w:r>
    </w:p>
    <w:p w14:paraId="5C5E3382" w14:textId="4F3EDD81" w:rsidR="00A22C65" w:rsidRPr="005F6A99" w:rsidRDefault="00A22C65" w:rsidP="00C33638">
      <w:pPr>
        <w:spacing w:before="0" w:after="0"/>
        <w:rPr>
          <w:rFonts w:eastAsia="Calibri" w:cs="Times New Roman"/>
          <w:sz w:val="22"/>
          <w:szCs w:val="22"/>
        </w:rPr>
      </w:pPr>
      <w:r w:rsidRPr="005F6A99">
        <w:rPr>
          <w:rFonts w:eastAsia="Calibri" w:cs="Times New Roman"/>
          <w:sz w:val="22"/>
          <w:szCs w:val="22"/>
        </w:rPr>
        <w:t>Conforme al informe financiero del segundo trimestre de 2022, presentado por BAXICO, el panorama global del país se ha recrudecido entre los efectos post pandemia, y el debilitamiento de la economía por el rompimiento de las cadenas de suministro, ocasionadas principalmente por el conflicto bélico Rusia-Ucrania. No obstante, el Producto Interno Bruto (PIB) del país y el sector industrial, han presentado una recuperación superior a la que sostienen muchos p</w:t>
      </w:r>
      <w:r w:rsidR="008D5695" w:rsidRPr="005F6A99">
        <w:rPr>
          <w:rFonts w:eastAsia="Calibri" w:cs="Times New Roman"/>
          <w:sz w:val="22"/>
          <w:szCs w:val="22"/>
        </w:rPr>
        <w:t>aí</w:t>
      </w:r>
      <w:r w:rsidRPr="005F6A99">
        <w:rPr>
          <w:rFonts w:eastAsia="Calibri" w:cs="Times New Roman"/>
          <w:sz w:val="22"/>
          <w:szCs w:val="22"/>
        </w:rPr>
        <w:t>ses.</w:t>
      </w:r>
    </w:p>
    <w:p w14:paraId="47B42FFC" w14:textId="400EB320" w:rsidR="00A22C65" w:rsidRPr="005F6A99" w:rsidRDefault="00A22C65" w:rsidP="00C33638">
      <w:pPr>
        <w:spacing w:before="0" w:after="0"/>
        <w:rPr>
          <w:rFonts w:eastAsia="Calibri" w:cs="Times New Roman"/>
          <w:sz w:val="22"/>
          <w:szCs w:val="22"/>
        </w:rPr>
      </w:pPr>
      <w:r w:rsidRPr="005F6A99">
        <w:rPr>
          <w:rFonts w:eastAsia="Calibri" w:cs="Times New Roman"/>
          <w:sz w:val="22"/>
          <w:szCs w:val="22"/>
        </w:rPr>
        <w:t>Por lo anterior, se pronostica un crecimiento global del 2.2% para el ejercicio 2022</w:t>
      </w:r>
      <w:r w:rsidR="008D5695" w:rsidRPr="005F6A99">
        <w:rPr>
          <w:rFonts w:eastAsia="Calibri" w:cs="Times New Roman"/>
          <w:sz w:val="22"/>
          <w:szCs w:val="22"/>
        </w:rPr>
        <w:t>.</w:t>
      </w:r>
    </w:p>
    <w:p w14:paraId="0EFAA640" w14:textId="40C88DA3" w:rsidR="008D5695" w:rsidRPr="005F6A99" w:rsidRDefault="008D5695" w:rsidP="00C33638">
      <w:pPr>
        <w:spacing w:before="0" w:after="0"/>
        <w:rPr>
          <w:rFonts w:eastAsia="Calibri" w:cs="Times New Roman"/>
          <w:sz w:val="22"/>
          <w:szCs w:val="22"/>
        </w:rPr>
      </w:pPr>
    </w:p>
    <w:p w14:paraId="68EE7C61" w14:textId="2BF6A4C1" w:rsidR="008D5695" w:rsidRPr="005F6A99" w:rsidRDefault="008D5695" w:rsidP="00C33638">
      <w:pPr>
        <w:spacing w:before="0" w:after="0"/>
        <w:rPr>
          <w:rFonts w:eastAsia="Calibri" w:cs="Times New Roman"/>
          <w:sz w:val="22"/>
          <w:szCs w:val="22"/>
        </w:rPr>
      </w:pPr>
      <w:r w:rsidRPr="005F6A99">
        <w:rPr>
          <w:rFonts w:eastAsia="Calibri" w:cs="Times New Roman"/>
          <w:sz w:val="22"/>
          <w:szCs w:val="22"/>
        </w:rPr>
        <w:t xml:space="preserve">No </w:t>
      </w:r>
      <w:proofErr w:type="gramStart"/>
      <w:r w:rsidRPr="005F6A99">
        <w:rPr>
          <w:rFonts w:eastAsia="Calibri" w:cs="Times New Roman"/>
          <w:sz w:val="22"/>
          <w:szCs w:val="22"/>
        </w:rPr>
        <w:t>obstante</w:t>
      </w:r>
      <w:proofErr w:type="gramEnd"/>
      <w:r w:rsidRPr="005F6A99">
        <w:rPr>
          <w:rFonts w:eastAsia="Calibri" w:cs="Times New Roman"/>
          <w:sz w:val="22"/>
          <w:szCs w:val="22"/>
        </w:rPr>
        <w:t xml:space="preserve"> lo anterior, la inflación sigue siendo un tema complicado, ya que ha ido en constante aumento. La inflación subyacente ha aumentado hasta en un 7.33% y la no subyacente hasta 10.59%</w:t>
      </w:r>
    </w:p>
    <w:p w14:paraId="301B46C6" w14:textId="2176D86C" w:rsidR="008D5695" w:rsidRPr="005F6A99" w:rsidRDefault="008D5695" w:rsidP="00C33638">
      <w:pPr>
        <w:spacing w:before="0" w:after="0"/>
        <w:rPr>
          <w:rFonts w:eastAsia="Calibri" w:cs="Times New Roman"/>
          <w:sz w:val="22"/>
          <w:szCs w:val="22"/>
        </w:rPr>
      </w:pPr>
    </w:p>
    <w:p w14:paraId="67596D71" w14:textId="021644FB" w:rsidR="008D5695" w:rsidRPr="005F6A99" w:rsidRDefault="008D5695" w:rsidP="00C33638">
      <w:pPr>
        <w:spacing w:before="0" w:after="0"/>
        <w:rPr>
          <w:rFonts w:eastAsia="Calibri" w:cs="Times New Roman"/>
          <w:sz w:val="22"/>
          <w:szCs w:val="22"/>
        </w:rPr>
      </w:pPr>
      <w:r w:rsidRPr="005F6A99">
        <w:rPr>
          <w:rFonts w:eastAsia="Calibri" w:cs="Times New Roman"/>
          <w:sz w:val="22"/>
          <w:szCs w:val="22"/>
        </w:rPr>
        <w:t>De esta manera, el entorno financiero global, si bien ha incidido en una recaudación importante</w:t>
      </w:r>
      <w:r w:rsidR="00DC0400" w:rsidRPr="005F6A99">
        <w:rPr>
          <w:rFonts w:eastAsia="Calibri" w:cs="Times New Roman"/>
          <w:sz w:val="22"/>
          <w:szCs w:val="22"/>
        </w:rPr>
        <w:t>mente favorable</w:t>
      </w:r>
      <w:r w:rsidRPr="005F6A99">
        <w:rPr>
          <w:rFonts w:eastAsia="Calibri" w:cs="Times New Roman"/>
          <w:sz w:val="22"/>
          <w:szCs w:val="22"/>
        </w:rPr>
        <w:t xml:space="preserve">, también ha afectado en las erogaciones necesarias para el funcionamiento de la </w:t>
      </w:r>
      <w:r w:rsidR="00DC0400" w:rsidRPr="005F6A99">
        <w:rPr>
          <w:rFonts w:eastAsia="Calibri" w:cs="Times New Roman"/>
          <w:sz w:val="22"/>
          <w:szCs w:val="22"/>
        </w:rPr>
        <w:t>administración pública</w:t>
      </w:r>
      <w:r w:rsidRPr="005F6A99">
        <w:rPr>
          <w:rFonts w:eastAsia="Calibri" w:cs="Times New Roman"/>
          <w:sz w:val="22"/>
          <w:szCs w:val="22"/>
        </w:rPr>
        <w:t>.</w:t>
      </w:r>
    </w:p>
    <w:p w14:paraId="440085F7" w14:textId="77777777" w:rsidR="008D5695" w:rsidRPr="005F6A99" w:rsidRDefault="008D5695" w:rsidP="00C33638">
      <w:pPr>
        <w:spacing w:before="0" w:after="0"/>
        <w:rPr>
          <w:rFonts w:eastAsia="Calibri" w:cs="Times New Roman"/>
          <w:sz w:val="22"/>
          <w:szCs w:val="22"/>
        </w:rPr>
      </w:pPr>
    </w:p>
    <w:p w14:paraId="16A03FA8" w14:textId="23CA45CC" w:rsidR="00A22C65" w:rsidRPr="005F6A99" w:rsidRDefault="008D5695" w:rsidP="00A22C65">
      <w:pPr>
        <w:spacing w:before="0" w:after="0"/>
        <w:rPr>
          <w:rFonts w:eastAsia="Calibri" w:cs="Times New Roman"/>
          <w:sz w:val="22"/>
          <w:szCs w:val="22"/>
        </w:rPr>
      </w:pPr>
      <w:r w:rsidRPr="005F6A99">
        <w:rPr>
          <w:rFonts w:eastAsia="Calibri" w:cs="Times New Roman"/>
          <w:sz w:val="22"/>
          <w:szCs w:val="22"/>
        </w:rPr>
        <w:t>En el mismo sentido, l</w:t>
      </w:r>
      <w:r w:rsidR="00A22C65" w:rsidRPr="005F6A99">
        <w:rPr>
          <w:rFonts w:eastAsia="Calibri" w:cs="Times New Roman"/>
          <w:sz w:val="22"/>
          <w:szCs w:val="22"/>
        </w:rPr>
        <w:t xml:space="preserve">a Administración Pública Central del Gobierno del Estado de Michoacán de Ocampo, no reconoce a la fecha los efectos de la inflación a través de la re-expresión de </w:t>
      </w:r>
      <w:r w:rsidR="00A22C65" w:rsidRPr="005F6A99">
        <w:rPr>
          <w:rFonts w:eastAsia="Calibri" w:cs="Times New Roman"/>
          <w:sz w:val="22"/>
          <w:szCs w:val="22"/>
        </w:rPr>
        <w:lastRenderedPageBreak/>
        <w:t>las cifras de sus estados financieros, al existir un entorno económico no inflacionario en el presente ejercicio y tampoco ha reconocido tales efectos acumulados en los activos no monetarios. Los índices que se utilizaron para efectos de determinar un entorno económico no inflacionario fueron los siguientes:</w:t>
      </w:r>
    </w:p>
    <w:p w14:paraId="1CB6CF20" w14:textId="77777777" w:rsidR="00A22C65" w:rsidRPr="005F6A99" w:rsidRDefault="00A22C65" w:rsidP="00A22C65">
      <w:pPr>
        <w:spacing w:before="0" w:after="0"/>
        <w:rPr>
          <w:rFonts w:eastAsia="Calibri" w:cs="Times New Roman"/>
          <w:sz w:val="22"/>
          <w:szCs w:val="22"/>
        </w:rPr>
      </w:pPr>
    </w:p>
    <w:tbl>
      <w:tblPr>
        <w:tblStyle w:val="Tablaconcuadrcula1"/>
        <w:tblW w:w="0" w:type="auto"/>
        <w:jc w:val="center"/>
        <w:tblLook w:val="04A0" w:firstRow="1" w:lastRow="0" w:firstColumn="1" w:lastColumn="0" w:noHBand="0" w:noVBand="1"/>
      </w:tblPr>
      <w:tblGrid>
        <w:gridCol w:w="1576"/>
        <w:gridCol w:w="1075"/>
        <w:gridCol w:w="1588"/>
      </w:tblGrid>
      <w:tr w:rsidR="00A22C65" w:rsidRPr="005F6A99" w14:paraId="7ED5A019" w14:textId="77777777" w:rsidTr="00466099">
        <w:trPr>
          <w:jc w:val="center"/>
        </w:trPr>
        <w:tc>
          <w:tcPr>
            <w:tcW w:w="1576" w:type="dxa"/>
            <w:tcBorders>
              <w:bottom w:val="single" w:sz="4" w:space="0" w:color="auto"/>
            </w:tcBorders>
            <w:shd w:val="clear" w:color="auto" w:fill="000000" w:themeFill="text1"/>
          </w:tcPr>
          <w:p w14:paraId="2C34AFDB" w14:textId="77777777" w:rsidR="00A22C65" w:rsidRPr="005F6A99" w:rsidRDefault="00A22C65" w:rsidP="00466099">
            <w:pPr>
              <w:spacing w:before="120" w:after="120" w:line="276" w:lineRule="auto"/>
              <w:ind w:left="284"/>
              <w:rPr>
                <w:rFonts w:eastAsia="Calibri" w:cs="Times New Roman"/>
                <w:color w:val="FFFFFF" w:themeColor="background1"/>
              </w:rPr>
            </w:pPr>
            <w:r w:rsidRPr="005F6A99">
              <w:rPr>
                <w:rFonts w:eastAsia="Calibri" w:cs="Times New Roman"/>
                <w:color w:val="FFFFFF" w:themeColor="background1"/>
              </w:rPr>
              <w:t>EJERCICIO</w:t>
            </w:r>
          </w:p>
        </w:tc>
        <w:tc>
          <w:tcPr>
            <w:tcW w:w="1075" w:type="dxa"/>
            <w:tcBorders>
              <w:bottom w:val="single" w:sz="4" w:space="0" w:color="auto"/>
            </w:tcBorders>
            <w:shd w:val="clear" w:color="auto" w:fill="000000" w:themeFill="text1"/>
          </w:tcPr>
          <w:p w14:paraId="7C4B24FE" w14:textId="77777777" w:rsidR="00A22C65" w:rsidRPr="005F6A99" w:rsidRDefault="00A22C65" w:rsidP="00466099">
            <w:pPr>
              <w:spacing w:before="120" w:after="120" w:line="276" w:lineRule="auto"/>
              <w:ind w:left="284"/>
              <w:rPr>
                <w:rFonts w:eastAsia="Calibri" w:cs="Times New Roman"/>
                <w:color w:val="FFFFFF" w:themeColor="background1"/>
              </w:rPr>
            </w:pPr>
            <w:r w:rsidRPr="005F6A99">
              <w:rPr>
                <w:rFonts w:eastAsia="Calibri" w:cs="Times New Roman"/>
                <w:color w:val="FFFFFF" w:themeColor="background1"/>
              </w:rPr>
              <w:t>INPC</w:t>
            </w:r>
          </w:p>
        </w:tc>
        <w:tc>
          <w:tcPr>
            <w:tcW w:w="1588" w:type="dxa"/>
            <w:tcBorders>
              <w:bottom w:val="single" w:sz="4" w:space="0" w:color="auto"/>
            </w:tcBorders>
            <w:shd w:val="clear" w:color="auto" w:fill="000000" w:themeFill="text1"/>
          </w:tcPr>
          <w:p w14:paraId="69D72C91" w14:textId="77777777" w:rsidR="00A22C65" w:rsidRPr="005F6A99" w:rsidRDefault="00A22C65" w:rsidP="00466099">
            <w:pPr>
              <w:spacing w:before="120" w:after="120" w:line="276" w:lineRule="auto"/>
              <w:ind w:left="284"/>
              <w:rPr>
                <w:rFonts w:eastAsia="Calibri" w:cs="Times New Roman"/>
                <w:color w:val="FFFFFF" w:themeColor="background1"/>
              </w:rPr>
            </w:pPr>
            <w:r w:rsidRPr="005F6A99">
              <w:rPr>
                <w:rFonts w:eastAsia="Calibri" w:cs="Times New Roman"/>
                <w:color w:val="FFFFFF" w:themeColor="background1"/>
              </w:rPr>
              <w:t>INFLACIÓN</w:t>
            </w:r>
          </w:p>
        </w:tc>
      </w:tr>
      <w:tr w:rsidR="00A22C65" w:rsidRPr="005F6A99" w14:paraId="0B903700" w14:textId="77777777" w:rsidTr="00466099">
        <w:trPr>
          <w:jc w:val="center"/>
        </w:trPr>
        <w:tc>
          <w:tcPr>
            <w:tcW w:w="1576" w:type="dxa"/>
            <w:tcBorders>
              <w:bottom w:val="single" w:sz="4" w:space="0" w:color="auto"/>
            </w:tcBorders>
            <w:shd w:val="clear" w:color="auto" w:fill="FFFFFF" w:themeFill="background1"/>
          </w:tcPr>
          <w:p w14:paraId="646BCEB9" w14:textId="77777777" w:rsidR="00A22C65" w:rsidRPr="005F6A99" w:rsidRDefault="00A22C65" w:rsidP="00466099">
            <w:pPr>
              <w:jc w:val="center"/>
              <w:rPr>
                <w:rFonts w:eastAsia="Calibri" w:cs="Calibri"/>
              </w:rPr>
            </w:pPr>
            <w:r w:rsidRPr="005F6A99">
              <w:rPr>
                <w:rFonts w:eastAsia="Calibri" w:cs="Calibri"/>
              </w:rPr>
              <w:t>2021</w:t>
            </w:r>
          </w:p>
        </w:tc>
        <w:tc>
          <w:tcPr>
            <w:tcW w:w="1075" w:type="dxa"/>
            <w:tcBorders>
              <w:bottom w:val="single" w:sz="4" w:space="0" w:color="auto"/>
            </w:tcBorders>
            <w:shd w:val="clear" w:color="auto" w:fill="FFFFFF" w:themeFill="background1"/>
          </w:tcPr>
          <w:p w14:paraId="16E681ED" w14:textId="77777777" w:rsidR="00A22C65" w:rsidRPr="005F6A99" w:rsidRDefault="00A22C65" w:rsidP="00466099">
            <w:pPr>
              <w:jc w:val="center"/>
              <w:rPr>
                <w:rFonts w:eastAsia="Calibri" w:cs="Calibri"/>
              </w:rPr>
            </w:pPr>
            <w:r w:rsidRPr="005F6A99">
              <w:rPr>
                <w:rFonts w:eastAsia="Calibri" w:cs="Calibri"/>
              </w:rPr>
              <w:t>117.308</w:t>
            </w:r>
          </w:p>
        </w:tc>
        <w:tc>
          <w:tcPr>
            <w:tcW w:w="1588" w:type="dxa"/>
            <w:tcBorders>
              <w:bottom w:val="single" w:sz="4" w:space="0" w:color="auto"/>
            </w:tcBorders>
            <w:shd w:val="clear" w:color="auto" w:fill="FFFFFF" w:themeFill="background1"/>
          </w:tcPr>
          <w:p w14:paraId="24131819" w14:textId="77777777" w:rsidR="00A22C65" w:rsidRPr="005F6A99" w:rsidRDefault="00A22C65" w:rsidP="00466099">
            <w:pPr>
              <w:jc w:val="center"/>
              <w:rPr>
                <w:rFonts w:eastAsia="Calibri" w:cs="Calibri"/>
              </w:rPr>
            </w:pPr>
            <w:r w:rsidRPr="005F6A99">
              <w:rPr>
                <w:rFonts w:eastAsia="Calibri" w:cs="Calibri"/>
              </w:rPr>
              <w:t>7.35%</w:t>
            </w:r>
          </w:p>
        </w:tc>
      </w:tr>
      <w:tr w:rsidR="00A22C65" w:rsidRPr="005F6A99" w14:paraId="5FD23DB2" w14:textId="77777777" w:rsidTr="00466099">
        <w:trPr>
          <w:jc w:val="center"/>
        </w:trPr>
        <w:tc>
          <w:tcPr>
            <w:tcW w:w="1576" w:type="dxa"/>
            <w:shd w:val="clear" w:color="auto" w:fill="7F7F7F" w:themeFill="text1" w:themeFillTint="80"/>
          </w:tcPr>
          <w:p w14:paraId="369AAC27" w14:textId="77777777" w:rsidR="00A22C65" w:rsidRPr="005F6A99" w:rsidRDefault="00A22C65" w:rsidP="00466099">
            <w:pPr>
              <w:jc w:val="center"/>
              <w:rPr>
                <w:rFonts w:eastAsia="Calibri" w:cs="Calibri"/>
                <w:color w:val="FFFFFF" w:themeColor="background1"/>
              </w:rPr>
            </w:pPr>
            <w:r w:rsidRPr="005F6A99">
              <w:rPr>
                <w:rFonts w:eastAsia="Calibri" w:cs="Calibri"/>
                <w:color w:val="FFFFFF" w:themeColor="background1"/>
              </w:rPr>
              <w:t>2020</w:t>
            </w:r>
          </w:p>
        </w:tc>
        <w:tc>
          <w:tcPr>
            <w:tcW w:w="1075" w:type="dxa"/>
            <w:shd w:val="clear" w:color="auto" w:fill="7F7F7F" w:themeFill="text1" w:themeFillTint="80"/>
          </w:tcPr>
          <w:p w14:paraId="66CB3400" w14:textId="77777777" w:rsidR="00A22C65" w:rsidRPr="005F6A99" w:rsidRDefault="00A22C65" w:rsidP="00466099">
            <w:pPr>
              <w:jc w:val="center"/>
              <w:rPr>
                <w:rFonts w:eastAsia="Calibri" w:cs="Calibri"/>
                <w:color w:val="FFFFFF" w:themeColor="background1"/>
              </w:rPr>
            </w:pPr>
            <w:r w:rsidRPr="005F6A99">
              <w:rPr>
                <w:rFonts w:eastAsia="Calibri" w:cs="Calibri"/>
                <w:color w:val="FFFFFF" w:themeColor="background1"/>
              </w:rPr>
              <w:t>109.271</w:t>
            </w:r>
          </w:p>
        </w:tc>
        <w:tc>
          <w:tcPr>
            <w:tcW w:w="1588" w:type="dxa"/>
            <w:shd w:val="clear" w:color="auto" w:fill="7F7F7F" w:themeFill="text1" w:themeFillTint="80"/>
          </w:tcPr>
          <w:p w14:paraId="1C96CA0E" w14:textId="77777777" w:rsidR="00A22C65" w:rsidRPr="005F6A99" w:rsidRDefault="00A22C65" w:rsidP="00466099">
            <w:pPr>
              <w:jc w:val="center"/>
              <w:rPr>
                <w:rFonts w:eastAsia="Calibri" w:cs="Calibri"/>
                <w:color w:val="FFFFFF" w:themeColor="background1"/>
              </w:rPr>
            </w:pPr>
            <w:r w:rsidRPr="005F6A99">
              <w:rPr>
                <w:rFonts w:eastAsia="Calibri" w:cs="Calibri"/>
                <w:color w:val="FFFFFF" w:themeColor="background1"/>
              </w:rPr>
              <w:t>3.15%</w:t>
            </w:r>
          </w:p>
        </w:tc>
      </w:tr>
      <w:tr w:rsidR="00A22C65" w:rsidRPr="005F6A99" w14:paraId="409232CC" w14:textId="77777777" w:rsidTr="00466099">
        <w:trPr>
          <w:jc w:val="center"/>
        </w:trPr>
        <w:tc>
          <w:tcPr>
            <w:tcW w:w="1576" w:type="dxa"/>
            <w:tcBorders>
              <w:bottom w:val="single" w:sz="4" w:space="0" w:color="auto"/>
            </w:tcBorders>
            <w:shd w:val="clear" w:color="auto" w:fill="FFFFFF" w:themeFill="background1"/>
          </w:tcPr>
          <w:p w14:paraId="1F95C1DD" w14:textId="77777777" w:rsidR="00A22C65" w:rsidRPr="005F6A99" w:rsidRDefault="00A22C65" w:rsidP="00466099">
            <w:pPr>
              <w:jc w:val="center"/>
              <w:rPr>
                <w:rFonts w:eastAsia="Calibri" w:cs="Calibri"/>
              </w:rPr>
            </w:pPr>
            <w:r w:rsidRPr="005F6A99">
              <w:rPr>
                <w:rFonts w:eastAsia="Calibri" w:cs="Calibri"/>
              </w:rPr>
              <w:t>2019</w:t>
            </w:r>
          </w:p>
        </w:tc>
        <w:tc>
          <w:tcPr>
            <w:tcW w:w="1075" w:type="dxa"/>
            <w:tcBorders>
              <w:bottom w:val="single" w:sz="4" w:space="0" w:color="auto"/>
            </w:tcBorders>
            <w:shd w:val="clear" w:color="auto" w:fill="FFFFFF" w:themeFill="background1"/>
          </w:tcPr>
          <w:p w14:paraId="4F3AF9DA" w14:textId="77777777" w:rsidR="00A22C65" w:rsidRPr="005F6A99" w:rsidRDefault="00A22C65" w:rsidP="00466099">
            <w:pPr>
              <w:jc w:val="center"/>
              <w:rPr>
                <w:rFonts w:eastAsia="Calibri" w:cs="Calibri"/>
              </w:rPr>
            </w:pPr>
            <w:r w:rsidRPr="005F6A99">
              <w:rPr>
                <w:rFonts w:eastAsia="Calibri" w:cs="Calibri"/>
              </w:rPr>
              <w:t>105.934</w:t>
            </w:r>
          </w:p>
        </w:tc>
        <w:tc>
          <w:tcPr>
            <w:tcW w:w="1588" w:type="dxa"/>
            <w:tcBorders>
              <w:bottom w:val="single" w:sz="4" w:space="0" w:color="auto"/>
            </w:tcBorders>
            <w:shd w:val="clear" w:color="auto" w:fill="FFFFFF" w:themeFill="background1"/>
          </w:tcPr>
          <w:p w14:paraId="248FED60" w14:textId="77777777" w:rsidR="00A22C65" w:rsidRPr="005F6A99" w:rsidRDefault="00A22C65" w:rsidP="00466099">
            <w:pPr>
              <w:jc w:val="center"/>
              <w:rPr>
                <w:rFonts w:eastAsia="Calibri" w:cs="Calibri"/>
              </w:rPr>
            </w:pPr>
            <w:r w:rsidRPr="005F6A99">
              <w:rPr>
                <w:rFonts w:eastAsia="Calibri" w:cs="Calibri"/>
              </w:rPr>
              <w:t>2.83%</w:t>
            </w:r>
          </w:p>
        </w:tc>
      </w:tr>
    </w:tbl>
    <w:p w14:paraId="693EC737" w14:textId="77777777" w:rsidR="00EF1DB9" w:rsidRPr="005F6A99" w:rsidRDefault="00EF1DB9" w:rsidP="00C33638">
      <w:pPr>
        <w:spacing w:before="0" w:after="0"/>
        <w:rPr>
          <w:rFonts w:eastAsia="Calibri" w:cs="Times New Roman"/>
          <w:b/>
          <w:sz w:val="22"/>
          <w:szCs w:val="22"/>
        </w:rPr>
      </w:pPr>
    </w:p>
    <w:p w14:paraId="0A01669C" w14:textId="7782477C" w:rsidR="00777ED2" w:rsidRPr="005F6A99" w:rsidRDefault="00E60996" w:rsidP="00C81148">
      <w:pPr>
        <w:spacing w:before="0" w:after="0"/>
        <w:rPr>
          <w:rFonts w:eastAsia="Calibri" w:cs="Times New Roman"/>
          <w:b/>
          <w:sz w:val="22"/>
          <w:szCs w:val="22"/>
        </w:rPr>
      </w:pPr>
      <w:r w:rsidRPr="005F6A99">
        <w:rPr>
          <w:rFonts w:eastAsia="Calibri" w:cs="Times New Roman"/>
          <w:b/>
          <w:sz w:val="22"/>
          <w:szCs w:val="22"/>
        </w:rPr>
        <w:t>3</w:t>
      </w:r>
      <w:r w:rsidR="00C81148" w:rsidRPr="005F6A99">
        <w:rPr>
          <w:rFonts w:eastAsia="Calibri" w:cs="Times New Roman"/>
          <w:b/>
          <w:sz w:val="22"/>
          <w:szCs w:val="22"/>
        </w:rPr>
        <w:t>.</w:t>
      </w:r>
      <w:r w:rsidR="00C81148" w:rsidRPr="005F6A99">
        <w:rPr>
          <w:rFonts w:eastAsia="Calibri" w:cs="Times New Roman"/>
          <w:b/>
          <w:sz w:val="22"/>
          <w:szCs w:val="22"/>
        </w:rPr>
        <w:tab/>
        <w:t>Autorización e Historia</w:t>
      </w:r>
    </w:p>
    <w:p w14:paraId="4D4557BB" w14:textId="5BFD469F" w:rsidR="00C81148" w:rsidRPr="005F6A99" w:rsidRDefault="00C81148" w:rsidP="00E60996">
      <w:pPr>
        <w:spacing w:before="0" w:after="0"/>
        <w:rPr>
          <w:rFonts w:eastAsia="Calibri" w:cs="Times New Roman"/>
          <w:b/>
          <w:sz w:val="22"/>
          <w:szCs w:val="22"/>
        </w:rPr>
      </w:pPr>
      <w:r w:rsidRPr="005F6A99">
        <w:rPr>
          <w:rFonts w:eastAsia="Calibri" w:cs="Times New Roman"/>
          <w:b/>
          <w:sz w:val="22"/>
          <w:szCs w:val="22"/>
        </w:rPr>
        <w:t>a) Fecha de creación:</w:t>
      </w:r>
    </w:p>
    <w:p w14:paraId="784372FA" w14:textId="64C4D949" w:rsidR="00C81148" w:rsidRPr="005F6A99" w:rsidRDefault="00C81148" w:rsidP="00C81148">
      <w:pPr>
        <w:rPr>
          <w:sz w:val="22"/>
          <w:szCs w:val="22"/>
        </w:rPr>
      </w:pPr>
      <w:r w:rsidRPr="005F6A99">
        <w:rPr>
          <w:sz w:val="22"/>
          <w:szCs w:val="22"/>
        </w:rPr>
        <w:t>Se creó el Estado Libre y Soberano de Michoacán, al expedirse el Acta Constitutiva de la Federación Mexicana, el 31 de enero de 1824, por decreto de la Cámara Constituyente de la Nación. El 6 de abril del mismo año, se instaló el Congreso Local Constituyente</w:t>
      </w:r>
      <w:r w:rsidR="001F77B1" w:rsidRPr="005F6A99">
        <w:rPr>
          <w:sz w:val="22"/>
          <w:szCs w:val="22"/>
        </w:rPr>
        <w:t xml:space="preserve"> El estado fue dividido en 4 departamentos y 22 partidos, por decreto de la Ley Territorial de 1825, y el 19 de julio, se contó con su primera Constitución política.</w:t>
      </w:r>
    </w:p>
    <w:p w14:paraId="4E9EDD0D" w14:textId="77777777" w:rsidR="00C81148" w:rsidRPr="005F6A99" w:rsidRDefault="00C81148" w:rsidP="00C81148">
      <w:pPr>
        <w:rPr>
          <w:sz w:val="22"/>
          <w:szCs w:val="22"/>
        </w:rPr>
      </w:pPr>
    </w:p>
    <w:p w14:paraId="39543048" w14:textId="1D5D9BEE" w:rsidR="00C81148" w:rsidRPr="005F6A99" w:rsidRDefault="00C81148" w:rsidP="00C33638">
      <w:pPr>
        <w:spacing w:before="0" w:after="0"/>
        <w:rPr>
          <w:sz w:val="22"/>
          <w:szCs w:val="22"/>
        </w:rPr>
      </w:pPr>
      <w:r w:rsidRPr="005F6A99">
        <w:rPr>
          <w:sz w:val="22"/>
          <w:szCs w:val="22"/>
        </w:rPr>
        <w:t xml:space="preserve">El día 29 de septiembre de 2015 </w:t>
      </w:r>
      <w:r w:rsidR="00005C0C" w:rsidRPr="005F6A99">
        <w:rPr>
          <w:sz w:val="22"/>
          <w:szCs w:val="22"/>
        </w:rPr>
        <w:t>se publica en el Periódico Oficial del Estado la Ley Orgánica de la Administración Pública del Estado de Michoacán de Ocampo.</w:t>
      </w:r>
    </w:p>
    <w:p w14:paraId="2B33C3CB" w14:textId="7BEAFD69" w:rsidR="00DC0400" w:rsidRPr="005F6A99" w:rsidRDefault="00DC0400" w:rsidP="00C33638">
      <w:pPr>
        <w:spacing w:before="0" w:after="0"/>
        <w:rPr>
          <w:sz w:val="22"/>
          <w:szCs w:val="22"/>
        </w:rPr>
      </w:pPr>
    </w:p>
    <w:p w14:paraId="0108ADF8" w14:textId="13D18A30" w:rsidR="00DC0400" w:rsidRPr="005F6A99" w:rsidRDefault="00DC0400" w:rsidP="00C33638">
      <w:pPr>
        <w:spacing w:before="0" w:after="0"/>
        <w:rPr>
          <w:sz w:val="22"/>
          <w:szCs w:val="22"/>
        </w:rPr>
      </w:pPr>
      <w:r w:rsidRPr="005F6A99">
        <w:rPr>
          <w:sz w:val="22"/>
          <w:szCs w:val="22"/>
        </w:rPr>
        <w:t>Actualmente, el estado comprende 113 municipios, con autonomía en cuanto a su gobierno interno.</w:t>
      </w:r>
    </w:p>
    <w:p w14:paraId="6DCD1FC2" w14:textId="77777777" w:rsidR="00005C0C" w:rsidRPr="005F6A99" w:rsidRDefault="00005C0C" w:rsidP="00C33638">
      <w:pPr>
        <w:spacing w:before="0" w:after="0"/>
        <w:rPr>
          <w:sz w:val="22"/>
          <w:szCs w:val="22"/>
        </w:rPr>
      </w:pPr>
    </w:p>
    <w:p w14:paraId="71483B00" w14:textId="1E6C87E3" w:rsidR="00C81148" w:rsidRPr="005F6A99" w:rsidRDefault="00005C0C" w:rsidP="00C33638">
      <w:pPr>
        <w:spacing w:before="0" w:after="0"/>
        <w:rPr>
          <w:sz w:val="22"/>
          <w:szCs w:val="22"/>
        </w:rPr>
      </w:pPr>
      <w:r w:rsidRPr="005F6A99">
        <w:rPr>
          <w:sz w:val="22"/>
          <w:szCs w:val="22"/>
        </w:rPr>
        <w:t xml:space="preserve">El despacho de los asuntos que competen al Gobernador del Estado, se realiza a través de las dependencias y entidades de la Administración Pública Estatal, conforme a la Constitución </w:t>
      </w:r>
      <w:r w:rsidRPr="005F6A99">
        <w:rPr>
          <w:sz w:val="22"/>
          <w:szCs w:val="22"/>
        </w:rPr>
        <w:lastRenderedPageBreak/>
        <w:t>Política del Estado Libre y Soberano de Michoacán de Ocampo y las leyes que de ella emanen, de acuerdo con el Presupuesto de Egresos del Estado.</w:t>
      </w:r>
    </w:p>
    <w:p w14:paraId="7B0C73FF" w14:textId="77777777" w:rsidR="00A36BAF" w:rsidRPr="005F6A99" w:rsidRDefault="00A36BAF" w:rsidP="00C33638">
      <w:pPr>
        <w:spacing w:before="0" w:after="0"/>
        <w:rPr>
          <w:sz w:val="22"/>
          <w:szCs w:val="22"/>
        </w:rPr>
      </w:pPr>
    </w:p>
    <w:p w14:paraId="108195DD" w14:textId="25AB0E6A" w:rsidR="00A36BAF" w:rsidRPr="005F6A99" w:rsidRDefault="00A36BAF" w:rsidP="00C33638">
      <w:pPr>
        <w:spacing w:before="0" w:after="0"/>
        <w:rPr>
          <w:sz w:val="22"/>
          <w:szCs w:val="22"/>
        </w:rPr>
      </w:pPr>
      <w:r w:rsidRPr="005F6A99">
        <w:rPr>
          <w:sz w:val="22"/>
          <w:szCs w:val="22"/>
        </w:rPr>
        <w:t>El Ejecutivo Estatal, por conducto de la Secretaría de Finanzas y Administración, informará trimestralmente al Congreso del Estado, el avance del ejercicio del gasto público con base en los registros realizados en el</w:t>
      </w:r>
      <w:r w:rsidR="00501CF9" w:rsidRPr="005F6A99">
        <w:rPr>
          <w:sz w:val="22"/>
          <w:szCs w:val="22"/>
        </w:rPr>
        <w:t xml:space="preserve"> </w:t>
      </w:r>
      <w:r w:rsidRPr="005F6A99">
        <w:rPr>
          <w:sz w:val="22"/>
          <w:szCs w:val="22"/>
        </w:rPr>
        <w:t xml:space="preserve">sistema del ejercicio presupuestal, en relación con el presupuesto asignado a las unidades programáticas presupuestarias. </w:t>
      </w:r>
    </w:p>
    <w:p w14:paraId="565EF9BA" w14:textId="77777777" w:rsidR="00B37F41" w:rsidRPr="005F6A99" w:rsidRDefault="00B37F41" w:rsidP="00C33638">
      <w:pPr>
        <w:spacing w:before="0" w:after="0"/>
        <w:rPr>
          <w:sz w:val="22"/>
          <w:szCs w:val="22"/>
        </w:rPr>
      </w:pPr>
    </w:p>
    <w:p w14:paraId="149F487D" w14:textId="77777777" w:rsidR="00A36BAF" w:rsidRPr="005F6A99" w:rsidRDefault="00A36BAF" w:rsidP="00A36BAF">
      <w:pPr>
        <w:spacing w:before="0" w:after="0"/>
        <w:rPr>
          <w:rFonts w:eastAsia="Calibri" w:cs="Times New Roman"/>
          <w:b/>
          <w:sz w:val="22"/>
          <w:szCs w:val="22"/>
        </w:rPr>
      </w:pPr>
      <w:r w:rsidRPr="005F6A99">
        <w:rPr>
          <w:rFonts w:eastAsia="Calibri" w:cs="Times New Roman"/>
          <w:b/>
          <w:sz w:val="22"/>
          <w:szCs w:val="22"/>
        </w:rPr>
        <w:t>b) Principales cambios en su estructura:</w:t>
      </w:r>
    </w:p>
    <w:p w14:paraId="3DAC96D0" w14:textId="77777777" w:rsidR="00C33638" w:rsidRPr="005F6A99" w:rsidRDefault="00C33638" w:rsidP="00C33638">
      <w:pPr>
        <w:spacing w:before="0" w:after="0"/>
        <w:rPr>
          <w:rFonts w:ascii="GalanoGrotesque-ExtraLight" w:eastAsia="Calibri" w:hAnsi="GalanoGrotesque-ExtraLight" w:cs="Times New Roman"/>
          <w:b/>
          <w:sz w:val="22"/>
          <w:szCs w:val="22"/>
        </w:rPr>
      </w:pPr>
    </w:p>
    <w:p w14:paraId="7BBDCE8A" w14:textId="074E4B15" w:rsidR="00A07777" w:rsidRPr="005F6A99" w:rsidRDefault="00A36BAF" w:rsidP="00A36BAF">
      <w:pPr>
        <w:spacing w:before="0" w:after="0"/>
        <w:rPr>
          <w:rFonts w:eastAsia="Calibri" w:cs="Times New Roman"/>
          <w:sz w:val="22"/>
          <w:szCs w:val="22"/>
        </w:rPr>
      </w:pPr>
      <w:r w:rsidRPr="005F6A99">
        <w:rPr>
          <w:rFonts w:eastAsia="Calibri" w:cs="Times New Roman"/>
          <w:sz w:val="22"/>
          <w:szCs w:val="22"/>
        </w:rPr>
        <w:t xml:space="preserve">Realización de cambios en la Estructura del Poder Ejecutivo del Gobierno del Estado. El 14 de octubre del 2017, se publicó en el Periódico Oficial del Gobierno del Estado, el Decreto mediante el cual se emite el Reglamento Interior de la Administración Pública Centralizada del Estado de Michoacán de Ocampo, al cual se le han realizado varias reformas siendo la última el </w:t>
      </w:r>
      <w:r w:rsidR="003D0CE9" w:rsidRPr="005F6A99">
        <w:rPr>
          <w:rFonts w:eastAsia="Calibri" w:cs="Times New Roman"/>
          <w:sz w:val="22"/>
          <w:szCs w:val="22"/>
        </w:rPr>
        <w:t>1</w:t>
      </w:r>
      <w:r w:rsidR="00796419" w:rsidRPr="005F6A99">
        <w:rPr>
          <w:rFonts w:eastAsia="Calibri" w:cs="Times New Roman"/>
          <w:sz w:val="22"/>
          <w:szCs w:val="22"/>
        </w:rPr>
        <w:t>3</w:t>
      </w:r>
      <w:r w:rsidR="003D0CE9" w:rsidRPr="005F6A99">
        <w:rPr>
          <w:rFonts w:eastAsia="Calibri" w:cs="Times New Roman"/>
          <w:sz w:val="22"/>
          <w:szCs w:val="22"/>
        </w:rPr>
        <w:t xml:space="preserve"> de </w:t>
      </w:r>
      <w:r w:rsidR="00796419" w:rsidRPr="005F6A99">
        <w:rPr>
          <w:rFonts w:eastAsia="Calibri" w:cs="Times New Roman"/>
          <w:sz w:val="22"/>
          <w:szCs w:val="22"/>
        </w:rPr>
        <w:t>septiem</w:t>
      </w:r>
      <w:r w:rsidR="003D0CE9" w:rsidRPr="005F6A99">
        <w:rPr>
          <w:rFonts w:eastAsia="Calibri" w:cs="Times New Roman"/>
          <w:sz w:val="22"/>
          <w:szCs w:val="22"/>
        </w:rPr>
        <w:t>bre</w:t>
      </w:r>
      <w:r w:rsidRPr="005F6A99">
        <w:rPr>
          <w:rFonts w:eastAsia="Calibri" w:cs="Times New Roman"/>
          <w:sz w:val="22"/>
          <w:szCs w:val="22"/>
        </w:rPr>
        <w:t xml:space="preserve"> de 202</w:t>
      </w:r>
      <w:r w:rsidR="00796419" w:rsidRPr="005F6A99">
        <w:rPr>
          <w:rFonts w:eastAsia="Calibri" w:cs="Times New Roman"/>
          <w:sz w:val="22"/>
          <w:szCs w:val="22"/>
        </w:rPr>
        <w:t>1</w:t>
      </w:r>
      <w:r w:rsidRPr="005F6A99">
        <w:rPr>
          <w:rFonts w:eastAsia="Calibri" w:cs="Times New Roman"/>
          <w:sz w:val="22"/>
          <w:szCs w:val="22"/>
        </w:rPr>
        <w:t>,  mediante el cual se realizaron diversas modificaciones a la estructura de la Secretaría de Finanzas y Administración, con la finalidad de focalizar las acciones estratégicas en la programación, presupuesto, inversión convenida, operación de fondos y valores, crédito, coordinación fiscal y de contabilidad</w:t>
      </w:r>
      <w:r w:rsidR="00826B58" w:rsidRPr="005F6A99">
        <w:rPr>
          <w:rFonts w:eastAsia="Calibri" w:cs="Times New Roman"/>
          <w:sz w:val="22"/>
          <w:szCs w:val="22"/>
        </w:rPr>
        <w:t xml:space="preserve"> gubernamental</w:t>
      </w:r>
      <w:r w:rsidRPr="005F6A99">
        <w:rPr>
          <w:rFonts w:eastAsia="Calibri" w:cs="Times New Roman"/>
          <w:sz w:val="22"/>
          <w:szCs w:val="22"/>
        </w:rPr>
        <w:t xml:space="preserve">, así como para ser más eficientes en el proceso de identificación, control y registro de los bienes patrimoniales del Estado, asimismo, </w:t>
      </w:r>
    </w:p>
    <w:p w14:paraId="0E92E920" w14:textId="77777777" w:rsidR="00A07777" w:rsidRPr="005F6A99" w:rsidRDefault="00A07777" w:rsidP="00A36BAF">
      <w:pPr>
        <w:spacing w:before="0" w:after="0"/>
        <w:rPr>
          <w:rFonts w:eastAsia="Calibri" w:cs="Times New Roman"/>
          <w:sz w:val="22"/>
          <w:szCs w:val="22"/>
        </w:rPr>
      </w:pPr>
    </w:p>
    <w:p w14:paraId="21227445" w14:textId="2E0EF327" w:rsidR="00A36BAF" w:rsidRPr="005F6A99" w:rsidRDefault="00A36BAF" w:rsidP="00A36BAF">
      <w:pPr>
        <w:spacing w:before="0" w:after="0"/>
        <w:rPr>
          <w:rFonts w:eastAsia="Calibri" w:cs="Times New Roman"/>
          <w:sz w:val="22"/>
          <w:szCs w:val="22"/>
        </w:rPr>
      </w:pPr>
      <w:r w:rsidRPr="005F6A99">
        <w:rPr>
          <w:rFonts w:eastAsia="Calibri" w:cs="Times New Roman"/>
          <w:sz w:val="22"/>
          <w:szCs w:val="22"/>
        </w:rPr>
        <w:t>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estado a través de esta Secretaría.</w:t>
      </w:r>
    </w:p>
    <w:p w14:paraId="41D33237" w14:textId="77777777" w:rsidR="00777ED2" w:rsidRPr="005F6A99" w:rsidRDefault="00777ED2" w:rsidP="00A36BAF">
      <w:pPr>
        <w:spacing w:before="0" w:after="0"/>
        <w:rPr>
          <w:rFonts w:eastAsia="Calibri" w:cs="Times New Roman"/>
          <w:sz w:val="22"/>
          <w:szCs w:val="22"/>
        </w:rPr>
      </w:pPr>
    </w:p>
    <w:p w14:paraId="5E3A35D4" w14:textId="67C38EFF" w:rsidR="00A36BAF" w:rsidRPr="005F6A99" w:rsidRDefault="00A36BAF" w:rsidP="00A36BAF">
      <w:pPr>
        <w:spacing w:before="0" w:after="0"/>
        <w:rPr>
          <w:rFonts w:eastAsia="Calibri" w:cs="Times New Roman"/>
          <w:sz w:val="22"/>
          <w:szCs w:val="22"/>
        </w:rPr>
      </w:pPr>
      <w:r w:rsidRPr="005F6A99">
        <w:rPr>
          <w:rFonts w:eastAsia="Calibri" w:cs="Times New Roman"/>
          <w:sz w:val="22"/>
          <w:szCs w:val="22"/>
        </w:rPr>
        <w:t xml:space="preserve">Con fecha </w:t>
      </w:r>
      <w:r w:rsidR="00796419" w:rsidRPr="005F6A99">
        <w:rPr>
          <w:rFonts w:eastAsia="Calibri" w:cs="Times New Roman"/>
          <w:sz w:val="22"/>
          <w:szCs w:val="22"/>
        </w:rPr>
        <w:t>8 de octubre de 2021</w:t>
      </w:r>
      <w:r w:rsidRPr="005F6A99">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4340BB72" w14:textId="77777777" w:rsidR="00501CF9" w:rsidRPr="005F6A99" w:rsidRDefault="00501CF9" w:rsidP="00501CF9">
      <w:pPr>
        <w:spacing w:before="0" w:after="0"/>
        <w:rPr>
          <w:rFonts w:eastAsia="Calibri" w:cs="Times New Roman"/>
          <w:sz w:val="22"/>
          <w:szCs w:val="22"/>
        </w:rPr>
      </w:pPr>
    </w:p>
    <w:p w14:paraId="2563CAA0" w14:textId="77777777" w:rsidR="00501CF9" w:rsidRPr="005F6A99" w:rsidRDefault="00501CF9" w:rsidP="00501CF9">
      <w:pPr>
        <w:spacing w:before="0" w:after="0"/>
        <w:rPr>
          <w:rFonts w:eastAsia="Calibri" w:cs="Times New Roman"/>
          <w:sz w:val="22"/>
          <w:szCs w:val="22"/>
        </w:rPr>
      </w:pPr>
      <w:r w:rsidRPr="005F6A99">
        <w:rPr>
          <w:rFonts w:eastAsia="Calibri" w:cs="Times New Roman"/>
          <w:sz w:val="22"/>
          <w:szCs w:val="22"/>
        </w:rPr>
        <w:t>El 15 de febrero de 2022, se publicó el Reglamento Interior de la Secretaría de Finanzas y Administración, en la cual se otorgan y especifican las facultades para la aprobación de los estados financieros y la integración de los informes de avance trimestral y cuenta pública anual de cada ejercicio fiscal.</w:t>
      </w:r>
    </w:p>
    <w:p w14:paraId="7A2FFBA6" w14:textId="77777777" w:rsidR="00A36BAF" w:rsidRPr="005F6A99" w:rsidRDefault="00A36BAF" w:rsidP="00501CF9">
      <w:pPr>
        <w:spacing w:before="0" w:after="0"/>
        <w:rPr>
          <w:rFonts w:eastAsia="Calibri" w:cs="Times New Roman"/>
          <w:sz w:val="22"/>
          <w:szCs w:val="22"/>
        </w:rPr>
      </w:pPr>
    </w:p>
    <w:p w14:paraId="1DD61641" w14:textId="04F4094F" w:rsidR="00A36BAF" w:rsidRPr="005F6A99" w:rsidRDefault="00E60996" w:rsidP="00A36BAF">
      <w:pPr>
        <w:spacing w:before="0" w:after="0"/>
        <w:rPr>
          <w:rFonts w:eastAsia="Calibri" w:cs="Times New Roman"/>
          <w:b/>
          <w:sz w:val="22"/>
          <w:szCs w:val="22"/>
        </w:rPr>
      </w:pPr>
      <w:r w:rsidRPr="005F6A99">
        <w:rPr>
          <w:rFonts w:eastAsia="Calibri" w:cs="Times New Roman"/>
          <w:b/>
          <w:sz w:val="22"/>
          <w:szCs w:val="22"/>
        </w:rPr>
        <w:t>4</w:t>
      </w:r>
      <w:r w:rsidR="00A36BAF" w:rsidRPr="005F6A99">
        <w:rPr>
          <w:rFonts w:eastAsia="Calibri" w:cs="Times New Roman"/>
          <w:b/>
          <w:sz w:val="22"/>
          <w:szCs w:val="22"/>
        </w:rPr>
        <w:t>.</w:t>
      </w:r>
      <w:r w:rsidR="00A36BAF" w:rsidRPr="005F6A99">
        <w:rPr>
          <w:rFonts w:eastAsia="Calibri" w:cs="Times New Roman"/>
          <w:b/>
          <w:sz w:val="22"/>
          <w:szCs w:val="22"/>
        </w:rPr>
        <w:tab/>
        <w:t>Organización y Objeto Social</w:t>
      </w:r>
    </w:p>
    <w:p w14:paraId="556C4D3E" w14:textId="5BE50C97" w:rsidR="00EF1DB9" w:rsidRPr="005F6A99" w:rsidRDefault="009F7C8F" w:rsidP="00A36BAF">
      <w:pPr>
        <w:spacing w:before="0" w:after="0"/>
        <w:rPr>
          <w:rFonts w:eastAsia="Calibri" w:cs="Times New Roman"/>
          <w:sz w:val="22"/>
          <w:szCs w:val="22"/>
        </w:rPr>
      </w:pPr>
      <w:r w:rsidRPr="005F6A99">
        <w:rPr>
          <w:rFonts w:eastAsia="Calibri" w:cs="Times New Roman"/>
          <w:sz w:val="22"/>
          <w:szCs w:val="22"/>
        </w:rPr>
        <w:t>Se informa sobre:</w:t>
      </w:r>
    </w:p>
    <w:p w14:paraId="36DC254E" w14:textId="0F536C58" w:rsidR="00CC0C17"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a) Objeto Social</w:t>
      </w:r>
    </w:p>
    <w:p w14:paraId="0E7013C3" w14:textId="4602F6E6" w:rsidR="00E60996" w:rsidRPr="005F6A99" w:rsidRDefault="0038498E" w:rsidP="00DC0400">
      <w:pPr>
        <w:spacing w:before="0" w:after="0"/>
        <w:rPr>
          <w:rFonts w:eastAsia="Calibri" w:cs="Times New Roman"/>
          <w:sz w:val="22"/>
          <w:szCs w:val="22"/>
        </w:rPr>
      </w:pPr>
      <w:r w:rsidRPr="005F6A99">
        <w:rPr>
          <w:rFonts w:eastAsia="Calibri" w:cs="Times New Roman"/>
          <w:sz w:val="22"/>
          <w:szCs w:val="22"/>
        </w:rPr>
        <w:t xml:space="preserve">El Gobierno de Michoacán tiene como objetivo y meta la de coadyuvar en la generación del bienestar de las personas en el </w:t>
      </w:r>
      <w:r w:rsidR="00F56B06" w:rsidRPr="005F6A99">
        <w:rPr>
          <w:rFonts w:eastAsia="Calibri" w:cs="Times New Roman"/>
          <w:sz w:val="22"/>
          <w:szCs w:val="22"/>
        </w:rPr>
        <w:t>E</w:t>
      </w:r>
      <w:r w:rsidRPr="005F6A99">
        <w:rPr>
          <w:rFonts w:eastAsia="Calibri" w:cs="Times New Roman"/>
          <w:sz w:val="22"/>
          <w:szCs w:val="22"/>
        </w:rPr>
        <w:t>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463523EB" w14:textId="7FAFD731" w:rsidR="0038498E" w:rsidRPr="005F6A99" w:rsidRDefault="0038498E" w:rsidP="00DC0400">
      <w:pPr>
        <w:spacing w:before="0" w:after="0"/>
        <w:rPr>
          <w:rFonts w:eastAsia="Calibri" w:cs="Times New Roman"/>
          <w:sz w:val="22"/>
          <w:szCs w:val="22"/>
        </w:rPr>
      </w:pPr>
    </w:p>
    <w:p w14:paraId="17DF776D" w14:textId="5586BAAA" w:rsidR="0038498E" w:rsidRPr="005F6A99" w:rsidRDefault="0038498E" w:rsidP="00DC0400">
      <w:pPr>
        <w:spacing w:before="0" w:after="0"/>
        <w:rPr>
          <w:rFonts w:eastAsia="Calibri" w:cs="Times New Roman"/>
          <w:sz w:val="22"/>
          <w:szCs w:val="22"/>
        </w:rPr>
      </w:pPr>
      <w:r w:rsidRPr="005F6A99">
        <w:rPr>
          <w:rFonts w:eastAsia="Calibri" w:cs="Times New Roman"/>
          <w:sz w:val="22"/>
          <w:szCs w:val="22"/>
        </w:rPr>
        <w:t xml:space="preserve">Lo anterior con la visión de consolidar al Gobierno de Michoacán como un gobierno donde el bienestar de su población sea el eje rector de las políticas y programas públicos, a fin de que </w:t>
      </w:r>
      <w:r w:rsidRPr="005F6A99">
        <w:rPr>
          <w:rFonts w:eastAsia="Calibri" w:cs="Times New Roman"/>
          <w:sz w:val="22"/>
          <w:szCs w:val="22"/>
        </w:rPr>
        <w:lastRenderedPageBreak/>
        <w:t>todas las personas y en especial los grupos históricamente vulnerados, puedan ejercer y acceder de manera efectiva y directa a sus derechos.</w:t>
      </w:r>
    </w:p>
    <w:p w14:paraId="7442C534" w14:textId="77777777" w:rsidR="00BE4DE3" w:rsidRPr="005F6A99" w:rsidRDefault="00BE4DE3" w:rsidP="00E60996">
      <w:pPr>
        <w:spacing w:before="0" w:after="0"/>
        <w:ind w:firstLine="360"/>
        <w:rPr>
          <w:rFonts w:eastAsia="Calibri" w:cs="Times New Roman"/>
          <w:b/>
          <w:bCs/>
          <w:sz w:val="22"/>
          <w:szCs w:val="22"/>
        </w:rPr>
      </w:pPr>
    </w:p>
    <w:p w14:paraId="368FFCC0" w14:textId="70291CCD" w:rsidR="00B37F41"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 xml:space="preserve">b)  </w:t>
      </w:r>
      <w:r w:rsidR="009F7C8F" w:rsidRPr="005F6A99">
        <w:rPr>
          <w:rFonts w:eastAsia="Calibri" w:cs="Times New Roman"/>
          <w:b/>
          <w:bCs/>
          <w:sz w:val="22"/>
          <w:szCs w:val="22"/>
        </w:rPr>
        <w:t>Principal</w:t>
      </w:r>
      <w:r w:rsidR="00A25F14" w:rsidRPr="005F6A99">
        <w:rPr>
          <w:rFonts w:eastAsia="Calibri" w:cs="Times New Roman"/>
          <w:b/>
          <w:bCs/>
          <w:sz w:val="22"/>
          <w:szCs w:val="22"/>
        </w:rPr>
        <w:t xml:space="preserve"> </w:t>
      </w:r>
      <w:r w:rsidR="00955D67" w:rsidRPr="005F6A99">
        <w:rPr>
          <w:rFonts w:eastAsia="Calibri" w:cs="Times New Roman"/>
          <w:b/>
          <w:bCs/>
          <w:sz w:val="22"/>
          <w:szCs w:val="22"/>
        </w:rPr>
        <w:t>Actividad:</w:t>
      </w:r>
    </w:p>
    <w:p w14:paraId="4CE01C4E" w14:textId="77777777" w:rsidR="00955D67" w:rsidRPr="005F6A99" w:rsidRDefault="00955D67" w:rsidP="00955D67">
      <w:pPr>
        <w:pStyle w:val="Prrafodelista"/>
        <w:ind w:left="765"/>
        <w:rPr>
          <w:rFonts w:ascii="GalanoGrotesque-ExtraLight" w:eastAsia="Calibri" w:hAnsi="GalanoGrotesque-ExtraLight"/>
          <w:b/>
          <w:sz w:val="22"/>
          <w:szCs w:val="22"/>
          <w:lang w:val="es-MX"/>
        </w:rPr>
      </w:pPr>
    </w:p>
    <w:p w14:paraId="17453442" w14:textId="77875673" w:rsidR="00A07777" w:rsidRPr="005F6A99" w:rsidRDefault="00B37F41" w:rsidP="00A07777">
      <w:pPr>
        <w:rPr>
          <w:rFonts w:eastAsia="Calibri" w:cs="Times New Roman"/>
          <w:sz w:val="22"/>
          <w:szCs w:val="22"/>
        </w:rPr>
      </w:pPr>
      <w:r w:rsidRPr="005F6A99">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14:paraId="331606B3" w14:textId="750EFE04" w:rsidR="0081420F"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 xml:space="preserve">c) </w:t>
      </w:r>
      <w:r w:rsidR="009F7C8F" w:rsidRPr="005F6A99">
        <w:rPr>
          <w:rFonts w:eastAsia="Calibri" w:cs="Times New Roman"/>
          <w:b/>
          <w:bCs/>
          <w:sz w:val="22"/>
          <w:szCs w:val="22"/>
        </w:rPr>
        <w:t xml:space="preserve">Ejercicio </w:t>
      </w:r>
      <w:r w:rsidR="00955D67" w:rsidRPr="005F6A99">
        <w:rPr>
          <w:rFonts w:eastAsia="Calibri" w:cs="Times New Roman"/>
          <w:b/>
          <w:bCs/>
          <w:sz w:val="22"/>
          <w:szCs w:val="22"/>
        </w:rPr>
        <w:t>F</w:t>
      </w:r>
      <w:r w:rsidR="009F7C8F" w:rsidRPr="005F6A99">
        <w:rPr>
          <w:rFonts w:eastAsia="Calibri" w:cs="Times New Roman"/>
          <w:b/>
          <w:bCs/>
          <w:sz w:val="22"/>
          <w:szCs w:val="22"/>
        </w:rPr>
        <w:t>iscal</w:t>
      </w:r>
    </w:p>
    <w:p w14:paraId="0F357055" w14:textId="176A200F" w:rsidR="00336A02" w:rsidRPr="005F6A99" w:rsidRDefault="0081420F" w:rsidP="0081420F">
      <w:pPr>
        <w:rPr>
          <w:rFonts w:eastAsia="Calibri" w:cs="Times New Roman"/>
          <w:sz w:val="22"/>
          <w:szCs w:val="22"/>
        </w:rPr>
      </w:pPr>
      <w:r w:rsidRPr="005F6A99">
        <w:rPr>
          <w:rFonts w:eastAsia="Calibri" w:cs="Times New Roman"/>
          <w:sz w:val="22"/>
          <w:szCs w:val="22"/>
        </w:rPr>
        <w:t xml:space="preserve">Se informa </w:t>
      </w:r>
      <w:r w:rsidR="00326E05" w:rsidRPr="005F6A99">
        <w:rPr>
          <w:rFonts w:eastAsia="Calibri" w:cs="Times New Roman"/>
          <w:sz w:val="22"/>
          <w:szCs w:val="22"/>
        </w:rPr>
        <w:t xml:space="preserve">el periodo del 01 de enero al </w:t>
      </w:r>
      <w:r w:rsidR="00D94B8B" w:rsidRPr="005F6A99">
        <w:rPr>
          <w:rFonts w:eastAsia="Calibri" w:cs="Times New Roman"/>
          <w:sz w:val="22"/>
          <w:szCs w:val="22"/>
        </w:rPr>
        <w:t>3</w:t>
      </w:r>
      <w:r w:rsidR="00AC27FC" w:rsidRPr="005F6A99">
        <w:rPr>
          <w:rFonts w:eastAsia="Calibri" w:cs="Times New Roman"/>
          <w:sz w:val="22"/>
          <w:szCs w:val="22"/>
        </w:rPr>
        <w:t>0</w:t>
      </w:r>
      <w:r w:rsidR="00C118C9" w:rsidRPr="005F6A99">
        <w:rPr>
          <w:rFonts w:eastAsia="Calibri" w:cs="Times New Roman"/>
          <w:sz w:val="22"/>
          <w:szCs w:val="22"/>
        </w:rPr>
        <w:t xml:space="preserve"> </w:t>
      </w:r>
      <w:r w:rsidR="00D94B8B" w:rsidRPr="005F6A99">
        <w:rPr>
          <w:rFonts w:eastAsia="Calibri" w:cs="Times New Roman"/>
          <w:sz w:val="22"/>
          <w:szCs w:val="22"/>
        </w:rPr>
        <w:t xml:space="preserve">de </w:t>
      </w:r>
      <w:r w:rsidR="00E60996" w:rsidRPr="005F6A99">
        <w:rPr>
          <w:rFonts w:eastAsia="Calibri" w:cs="Times New Roman"/>
          <w:sz w:val="22"/>
          <w:szCs w:val="22"/>
        </w:rPr>
        <w:t>septiembre</w:t>
      </w:r>
      <w:r w:rsidR="00C118C9" w:rsidRPr="005F6A99">
        <w:rPr>
          <w:rFonts w:eastAsia="Calibri" w:cs="Times New Roman"/>
          <w:sz w:val="22"/>
          <w:szCs w:val="22"/>
        </w:rPr>
        <w:t xml:space="preserve"> </w:t>
      </w:r>
      <w:r w:rsidRPr="005F6A99">
        <w:rPr>
          <w:rFonts w:eastAsia="Calibri" w:cs="Times New Roman"/>
          <w:sz w:val="22"/>
          <w:szCs w:val="22"/>
        </w:rPr>
        <w:t>de 202</w:t>
      </w:r>
      <w:r w:rsidR="00501CF9" w:rsidRPr="005F6A99">
        <w:rPr>
          <w:rFonts w:eastAsia="Calibri" w:cs="Times New Roman"/>
          <w:sz w:val="22"/>
          <w:szCs w:val="22"/>
        </w:rPr>
        <w:t>2</w:t>
      </w:r>
      <w:r w:rsidR="00307FB4" w:rsidRPr="005F6A99">
        <w:rPr>
          <w:rFonts w:eastAsia="Calibri" w:cs="Times New Roman"/>
          <w:sz w:val="22"/>
          <w:szCs w:val="22"/>
        </w:rPr>
        <w:t>.</w:t>
      </w:r>
    </w:p>
    <w:p w14:paraId="7FC98D8D" w14:textId="5FFC9972" w:rsidR="009F7C8F"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 xml:space="preserve">d) </w:t>
      </w:r>
      <w:r w:rsidR="009F7C8F" w:rsidRPr="005F6A99">
        <w:rPr>
          <w:rFonts w:eastAsia="Calibri" w:cs="Times New Roman"/>
          <w:b/>
          <w:bCs/>
          <w:sz w:val="22"/>
          <w:szCs w:val="22"/>
        </w:rPr>
        <w:t xml:space="preserve">Régimen </w:t>
      </w:r>
      <w:r w:rsidR="00955D67" w:rsidRPr="005F6A99">
        <w:rPr>
          <w:rFonts w:eastAsia="Calibri" w:cs="Times New Roman"/>
          <w:b/>
          <w:bCs/>
          <w:sz w:val="22"/>
          <w:szCs w:val="22"/>
        </w:rPr>
        <w:t>J</w:t>
      </w:r>
      <w:r w:rsidR="009F7C8F" w:rsidRPr="005F6A99">
        <w:rPr>
          <w:rFonts w:eastAsia="Calibri" w:cs="Times New Roman"/>
          <w:b/>
          <w:bCs/>
          <w:sz w:val="22"/>
          <w:szCs w:val="22"/>
        </w:rPr>
        <w:t>urídico</w:t>
      </w:r>
    </w:p>
    <w:p w14:paraId="0CBC09BD" w14:textId="03B8B25C" w:rsidR="00E60996" w:rsidRPr="005F6A99" w:rsidRDefault="00E60996" w:rsidP="00C33638">
      <w:pPr>
        <w:spacing w:before="0" w:after="0"/>
        <w:rPr>
          <w:rFonts w:eastAsia="Calibri" w:cs="Times New Roman"/>
          <w:sz w:val="22"/>
          <w:szCs w:val="22"/>
        </w:rPr>
      </w:pPr>
    </w:p>
    <w:p w14:paraId="17BF4A22" w14:textId="05F4E47D" w:rsidR="001F77B1" w:rsidRPr="005F6A99" w:rsidRDefault="001F77B1" w:rsidP="001F77B1">
      <w:pPr>
        <w:spacing w:before="0" w:after="0"/>
        <w:rPr>
          <w:rFonts w:eastAsia="Calibri" w:cs="Times New Roman"/>
          <w:sz w:val="22"/>
          <w:szCs w:val="22"/>
        </w:rPr>
      </w:pPr>
      <w:r w:rsidRPr="005F6A99">
        <w:rPr>
          <w:rFonts w:eastAsia="Calibri" w:cs="Times New Roman"/>
          <w:sz w:val="22"/>
          <w:szCs w:val="22"/>
        </w:rPr>
        <w:t>El</w:t>
      </w:r>
      <w:r w:rsidR="007A3044" w:rsidRPr="005F6A99">
        <w:rPr>
          <w:rFonts w:eastAsia="Calibri" w:cs="Times New Roman"/>
          <w:sz w:val="22"/>
          <w:szCs w:val="22"/>
        </w:rPr>
        <w:t xml:space="preserve"> Estado de Michoacán es un </w:t>
      </w:r>
      <w:r w:rsidRPr="005F6A99">
        <w:rPr>
          <w:rFonts w:eastAsia="Calibri" w:cs="Times New Roman"/>
          <w:sz w:val="22"/>
          <w:szCs w:val="22"/>
        </w:rPr>
        <w:t xml:space="preserve">estado independiente, libre y soberano, en lo que exclusivamente toque a su administración y gobierno interior, que forma parte de la Federación de Estados Independientes denominados Estados Unidos Mexicanos </w:t>
      </w:r>
      <w:r w:rsidRPr="005F6A99">
        <w:rPr>
          <w:sz w:val="22"/>
          <w:szCs w:val="22"/>
        </w:rPr>
        <w:t xml:space="preserve">y está constituido por la porción de territorio nacional que le reconozcan la Constitución Federal, las leyes y los convenios. </w:t>
      </w:r>
    </w:p>
    <w:p w14:paraId="208BAB48" w14:textId="77777777" w:rsidR="001F77B1" w:rsidRPr="005F6A99" w:rsidRDefault="001F77B1" w:rsidP="001F77B1">
      <w:pPr>
        <w:spacing w:before="0" w:after="0"/>
        <w:rPr>
          <w:sz w:val="22"/>
          <w:szCs w:val="22"/>
        </w:rPr>
      </w:pPr>
    </w:p>
    <w:p w14:paraId="2936B416" w14:textId="77777777" w:rsidR="001F77B1" w:rsidRPr="005F6A99" w:rsidRDefault="001F77B1" w:rsidP="001F77B1">
      <w:pPr>
        <w:spacing w:before="0" w:after="0"/>
        <w:rPr>
          <w:sz w:val="22"/>
          <w:szCs w:val="22"/>
        </w:rPr>
      </w:pPr>
      <w:r w:rsidRPr="005F6A99">
        <w:rPr>
          <w:sz w:val="22"/>
          <w:szCs w:val="22"/>
        </w:rPr>
        <w:t>El Poder Público del Estado se divide para su ejercicio, en Legislativo, Ejecutivo y Judicial, los cuales actuarán separada y libremente, pero cooperando, en forma armónica, a la realización de los fines del Estado.</w:t>
      </w:r>
    </w:p>
    <w:p w14:paraId="32A77C0C" w14:textId="77777777" w:rsidR="001F77B1" w:rsidRPr="005F6A99" w:rsidRDefault="001F77B1" w:rsidP="001F77B1">
      <w:pPr>
        <w:spacing w:before="0" w:after="0"/>
        <w:rPr>
          <w:sz w:val="22"/>
          <w:szCs w:val="22"/>
        </w:rPr>
      </w:pPr>
    </w:p>
    <w:p w14:paraId="5E4E99D8" w14:textId="77777777" w:rsidR="001F77B1" w:rsidRPr="005F6A99" w:rsidRDefault="001F77B1" w:rsidP="001F77B1">
      <w:pPr>
        <w:spacing w:before="0" w:after="0"/>
        <w:rPr>
          <w:sz w:val="22"/>
          <w:szCs w:val="22"/>
        </w:rPr>
      </w:pPr>
      <w:r w:rsidRPr="005F6A99">
        <w:rPr>
          <w:sz w:val="22"/>
          <w:szCs w:val="22"/>
        </w:rPr>
        <w:t>Se deposita el ejercicio del Poder Legislativo en una asamblea que se denominará: Congreso del Estado de Michoacán de Ocampo.</w:t>
      </w:r>
    </w:p>
    <w:p w14:paraId="5E08EED5" w14:textId="77777777" w:rsidR="001F77B1" w:rsidRPr="005F6A99" w:rsidRDefault="001F77B1" w:rsidP="00C33638">
      <w:pPr>
        <w:spacing w:before="0" w:after="0"/>
        <w:rPr>
          <w:rFonts w:eastAsia="Calibri" w:cs="Times New Roman"/>
          <w:sz w:val="22"/>
          <w:szCs w:val="22"/>
        </w:rPr>
      </w:pPr>
    </w:p>
    <w:p w14:paraId="070C9D5D" w14:textId="77777777" w:rsidR="00254C67" w:rsidRPr="005F6A99" w:rsidRDefault="00254C67" w:rsidP="00C33638">
      <w:pPr>
        <w:spacing w:before="0" w:after="0"/>
        <w:rPr>
          <w:rFonts w:eastAsia="Calibri" w:cs="Times New Roman"/>
          <w:sz w:val="22"/>
          <w:szCs w:val="22"/>
        </w:rPr>
      </w:pPr>
    </w:p>
    <w:p w14:paraId="17F49D19" w14:textId="1F3BAC48" w:rsidR="00E60996"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e). Consideraciones fiscales del ente: revelar el tipo de contribuciones q</w:t>
      </w:r>
      <w:r w:rsidR="00254C67" w:rsidRPr="005F6A99">
        <w:rPr>
          <w:rFonts w:eastAsia="Calibri" w:cs="Times New Roman"/>
          <w:b/>
          <w:bCs/>
          <w:sz w:val="22"/>
          <w:szCs w:val="22"/>
        </w:rPr>
        <w:t>u</w:t>
      </w:r>
      <w:r w:rsidRPr="005F6A99">
        <w:rPr>
          <w:rFonts w:eastAsia="Calibri" w:cs="Times New Roman"/>
          <w:b/>
          <w:bCs/>
          <w:sz w:val="22"/>
          <w:szCs w:val="22"/>
        </w:rPr>
        <w:t>e esté obligado a pagar o retener</w:t>
      </w:r>
      <w:r w:rsidR="00254C67" w:rsidRPr="005F6A99">
        <w:rPr>
          <w:rFonts w:eastAsia="Calibri" w:cs="Times New Roman"/>
          <w:b/>
          <w:bCs/>
          <w:sz w:val="22"/>
          <w:szCs w:val="22"/>
        </w:rPr>
        <w:t>.</w:t>
      </w:r>
    </w:p>
    <w:p w14:paraId="5C2ECB60" w14:textId="77777777" w:rsidR="00254C67" w:rsidRPr="005F6A99" w:rsidRDefault="00254C67" w:rsidP="00254C67">
      <w:pPr>
        <w:spacing w:before="0" w:after="0"/>
        <w:rPr>
          <w:rFonts w:eastAsia="Calibri" w:cs="Times New Roman"/>
          <w:sz w:val="22"/>
          <w:szCs w:val="22"/>
        </w:rPr>
      </w:pPr>
    </w:p>
    <w:p w14:paraId="0A3D1160" w14:textId="77777777" w:rsidR="00254C67" w:rsidRPr="005F6A99" w:rsidRDefault="00254C67" w:rsidP="00254C67">
      <w:pPr>
        <w:spacing w:before="0" w:after="0"/>
        <w:rPr>
          <w:rFonts w:eastAsia="Calibri" w:cs="Times New Roman"/>
          <w:sz w:val="22"/>
          <w:szCs w:val="22"/>
        </w:rPr>
      </w:pPr>
      <w:r w:rsidRPr="005F6A99">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Ingresos por Arrendamiento de Bienes Inmuebles y en General por Otorgar el Uso o Goce Temporal de Bienes Inmuebles, respectivamente.</w:t>
      </w:r>
    </w:p>
    <w:p w14:paraId="63D03EC7" w14:textId="77777777" w:rsidR="00254C67" w:rsidRPr="005F6A99" w:rsidRDefault="00254C67" w:rsidP="00254C67">
      <w:pPr>
        <w:spacing w:before="0" w:after="0"/>
        <w:ind w:left="709"/>
        <w:rPr>
          <w:rFonts w:eastAsia="Calibri" w:cs="Times New Roman"/>
          <w:sz w:val="22"/>
          <w:szCs w:val="22"/>
        </w:rPr>
      </w:pPr>
    </w:p>
    <w:p w14:paraId="47054D42" w14:textId="77777777" w:rsidR="00254C67" w:rsidRPr="005F6A99" w:rsidRDefault="00254C67" w:rsidP="00254C67">
      <w:pPr>
        <w:spacing w:before="0" w:after="0"/>
        <w:rPr>
          <w:rFonts w:eastAsia="Calibri" w:cs="Times New Roman"/>
          <w:sz w:val="22"/>
          <w:szCs w:val="22"/>
        </w:rPr>
      </w:pPr>
      <w:r w:rsidRPr="005F6A99">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3171A535" w14:textId="77777777" w:rsidR="00254C67" w:rsidRPr="005F6A99" w:rsidRDefault="00254C67" w:rsidP="00254C67">
      <w:pPr>
        <w:spacing w:before="0" w:after="0"/>
        <w:rPr>
          <w:rFonts w:eastAsia="Calibri" w:cs="Times New Roman"/>
          <w:sz w:val="22"/>
          <w:szCs w:val="22"/>
        </w:rPr>
      </w:pPr>
    </w:p>
    <w:p w14:paraId="6FDBBFFD" w14:textId="77777777" w:rsidR="00254C67" w:rsidRPr="005F6A99" w:rsidRDefault="00254C67" w:rsidP="00254C67">
      <w:pPr>
        <w:spacing w:before="0" w:after="0"/>
        <w:rPr>
          <w:rFonts w:eastAsia="Calibri" w:cs="Times New Roman"/>
          <w:sz w:val="22"/>
          <w:szCs w:val="22"/>
        </w:rPr>
      </w:pPr>
      <w:r w:rsidRPr="005F6A99">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5F6A99">
        <w:t xml:space="preserve"> </w:t>
      </w:r>
      <w:r w:rsidRPr="005F6A99">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5C612FAA" w14:textId="77777777" w:rsidR="00254C67" w:rsidRPr="005F6A99" w:rsidRDefault="00254C67" w:rsidP="00254C67">
      <w:pPr>
        <w:spacing w:before="0" w:after="0"/>
        <w:rPr>
          <w:rFonts w:eastAsia="Calibri" w:cs="Times New Roman"/>
          <w:sz w:val="22"/>
          <w:szCs w:val="22"/>
        </w:rPr>
      </w:pPr>
    </w:p>
    <w:p w14:paraId="176E762F" w14:textId="77777777" w:rsidR="00254C67" w:rsidRPr="005F6A99" w:rsidRDefault="00254C67" w:rsidP="00254C67">
      <w:pPr>
        <w:spacing w:before="0" w:after="0"/>
        <w:rPr>
          <w:rFonts w:eastAsia="Calibri" w:cs="Times New Roman"/>
          <w:sz w:val="22"/>
          <w:szCs w:val="22"/>
        </w:rPr>
      </w:pPr>
      <w:r w:rsidRPr="005F6A99">
        <w:rPr>
          <w:rFonts w:eastAsia="Calibri" w:cs="Times New Roman"/>
          <w:sz w:val="22"/>
          <w:szCs w:val="22"/>
        </w:rPr>
        <w:t xml:space="preserve">Igualmente, es sujeto de diversas contribuciones municipales, tales como: el Impuesto Predial por aquellos inmuebles de dominio privado y el de Adquisición de Bienes al realizar compras de bienes para su uso de dominio privado; y del Impuesto sobre Erogaciones por </w:t>
      </w:r>
      <w:r w:rsidRPr="005F6A99">
        <w:rPr>
          <w:rFonts w:eastAsia="Calibri" w:cs="Times New Roman"/>
          <w:sz w:val="22"/>
          <w:szCs w:val="22"/>
        </w:rPr>
        <w:lastRenderedPageBreak/>
        <w:t>Remuneración al Trabajo Personal Prestado Bajo la Dirección y Dependencia de un Patrón, entre otros.</w:t>
      </w:r>
    </w:p>
    <w:p w14:paraId="029D00A7" w14:textId="77777777" w:rsidR="00254C67" w:rsidRPr="005F6A99" w:rsidRDefault="00254C67" w:rsidP="00E60996">
      <w:pPr>
        <w:spacing w:before="0" w:after="0"/>
        <w:ind w:firstLine="360"/>
        <w:rPr>
          <w:rFonts w:eastAsia="Calibri" w:cs="Times New Roman"/>
          <w:sz w:val="22"/>
          <w:szCs w:val="22"/>
        </w:rPr>
      </w:pPr>
    </w:p>
    <w:p w14:paraId="745DDA35" w14:textId="5D5C8C41" w:rsidR="00E60996"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f) Estructura organizacional básica</w:t>
      </w:r>
    </w:p>
    <w:p w14:paraId="0B946030" w14:textId="2016A69E"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601C743B" w14:textId="3EA3DCC4" w:rsidR="0038498E" w:rsidRPr="005F6A99" w:rsidRDefault="0038498E" w:rsidP="0038498E">
      <w:pPr>
        <w:spacing w:before="0" w:after="0"/>
        <w:rPr>
          <w:rFonts w:eastAsia="Calibri" w:cs="Times New Roman"/>
          <w:sz w:val="22"/>
          <w:szCs w:val="22"/>
        </w:rPr>
      </w:pPr>
    </w:p>
    <w:p w14:paraId="2F59232C" w14:textId="3AD3F795"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124D6E7E" w14:textId="5FBEB850"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Gobierno;</w:t>
      </w:r>
    </w:p>
    <w:p w14:paraId="3F948422" w14:textId="07177F5F"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Finanzas y Administración;</w:t>
      </w:r>
    </w:p>
    <w:p w14:paraId="386569B6" w14:textId="77777777"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Contraloría;</w:t>
      </w:r>
    </w:p>
    <w:p w14:paraId="1080F63E" w14:textId="77777777"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Seguridad Pública;</w:t>
      </w:r>
    </w:p>
    <w:p w14:paraId="5EF0D1E4" w14:textId="6AB43CA3"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Desarrollo Económico;</w:t>
      </w:r>
    </w:p>
    <w:p w14:paraId="57B10B24" w14:textId="6B4820CA"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Turismo;</w:t>
      </w:r>
    </w:p>
    <w:p w14:paraId="3E0552D3" w14:textId="591167EB"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Agricultura y Desarrollo Rural;</w:t>
      </w:r>
    </w:p>
    <w:p w14:paraId="6D472DF5" w14:textId="00A3463C"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Comunicaciones y Obras Públicas;</w:t>
      </w:r>
    </w:p>
    <w:p w14:paraId="5EBB10E1" w14:textId="1B8AFC81"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del Medio Ambiente;</w:t>
      </w:r>
    </w:p>
    <w:p w14:paraId="498371C3" w14:textId="6FB9A898"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Desarrollo Urbano y Movilidad;</w:t>
      </w:r>
    </w:p>
    <w:p w14:paraId="52B02081" w14:textId="415D29FD"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Educación;</w:t>
      </w:r>
    </w:p>
    <w:p w14:paraId="49DBC676" w14:textId="43B6EBD4"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Cultura;</w:t>
      </w:r>
    </w:p>
    <w:p w14:paraId="0F596F4B" w14:textId="4D1D4F38"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Salud;</w:t>
      </w:r>
    </w:p>
    <w:p w14:paraId="61111D13" w14:textId="77777777"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del Bienestar;</w:t>
      </w:r>
    </w:p>
    <w:p w14:paraId="64866ECF" w14:textId="578BD94E"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lastRenderedPageBreak/>
        <w:t>- Secretaría del Migrante; y,</w:t>
      </w:r>
    </w:p>
    <w:p w14:paraId="2AEFD0E0" w14:textId="7EC71998"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Secretaría de Igualdad Sustantiva y Desarrollo de las Mujeres Michoacanas.</w:t>
      </w:r>
    </w:p>
    <w:p w14:paraId="26488784" w14:textId="590E1B14" w:rsidR="0038498E" w:rsidRPr="005F6A99" w:rsidRDefault="0038498E" w:rsidP="0038498E">
      <w:pPr>
        <w:spacing w:before="0" w:after="0"/>
        <w:rPr>
          <w:rFonts w:eastAsia="Calibri" w:cs="Times New Roman"/>
          <w:sz w:val="22"/>
          <w:szCs w:val="22"/>
        </w:rPr>
      </w:pPr>
      <w:r w:rsidRPr="005F6A99">
        <w:rPr>
          <w:rFonts w:eastAsia="Calibri" w:cs="Times New Roman"/>
          <w:sz w:val="22"/>
          <w:szCs w:val="22"/>
        </w:rPr>
        <w:t xml:space="preserve">Cada una de estas entidades están organizadas de tal forma que permitan el correcto </w:t>
      </w:r>
      <w:r w:rsidR="00E4091F" w:rsidRPr="005F6A99">
        <w:rPr>
          <w:rFonts w:eastAsia="Calibri" w:cs="Times New Roman"/>
          <w:sz w:val="22"/>
          <w:szCs w:val="22"/>
        </w:rPr>
        <w:t>f</w:t>
      </w:r>
      <w:r w:rsidRPr="005F6A99">
        <w:rPr>
          <w:rFonts w:eastAsia="Calibri" w:cs="Times New Roman"/>
          <w:sz w:val="22"/>
          <w:szCs w:val="22"/>
        </w:rPr>
        <w:t>uncionamiento de</w:t>
      </w:r>
      <w:r w:rsidR="00E4091F" w:rsidRPr="005F6A99">
        <w:rPr>
          <w:rFonts w:eastAsia="Calibri" w:cs="Times New Roman"/>
          <w:sz w:val="22"/>
          <w:szCs w:val="22"/>
        </w:rPr>
        <w:t xml:space="preserve"> la Administración Pública Estatal.</w:t>
      </w:r>
    </w:p>
    <w:p w14:paraId="0D31BA04" w14:textId="77777777" w:rsidR="00E4091F" w:rsidRPr="005F6A99" w:rsidRDefault="00E4091F" w:rsidP="0038498E">
      <w:pPr>
        <w:spacing w:before="0" w:after="0"/>
        <w:rPr>
          <w:rFonts w:eastAsia="Calibri" w:cs="Times New Roman"/>
          <w:sz w:val="22"/>
          <w:szCs w:val="22"/>
        </w:rPr>
      </w:pPr>
    </w:p>
    <w:p w14:paraId="46EF0E08" w14:textId="47B9E692" w:rsidR="00E60996" w:rsidRPr="005F6A99" w:rsidRDefault="00E60996" w:rsidP="00E60996">
      <w:pPr>
        <w:spacing w:before="0" w:after="0"/>
        <w:ind w:firstLine="360"/>
        <w:rPr>
          <w:rFonts w:eastAsia="Calibri" w:cs="Times New Roman"/>
          <w:b/>
          <w:bCs/>
          <w:sz w:val="22"/>
          <w:szCs w:val="22"/>
        </w:rPr>
      </w:pPr>
      <w:r w:rsidRPr="005F6A99">
        <w:rPr>
          <w:rFonts w:eastAsia="Calibri" w:cs="Times New Roman"/>
          <w:b/>
          <w:bCs/>
          <w:sz w:val="22"/>
          <w:szCs w:val="22"/>
        </w:rPr>
        <w:t>g) Fideicomisos, mandatos y análogos de los cuales es fideicomisario</w:t>
      </w:r>
      <w:r w:rsidR="00E4091F" w:rsidRPr="005F6A99">
        <w:rPr>
          <w:rFonts w:eastAsia="Calibri" w:cs="Times New Roman"/>
          <w:b/>
          <w:bCs/>
          <w:sz w:val="22"/>
          <w:szCs w:val="22"/>
        </w:rPr>
        <w:t>.</w:t>
      </w:r>
    </w:p>
    <w:p w14:paraId="49FA7C97" w14:textId="0590BFDC" w:rsidR="00E4091F" w:rsidRPr="005F6A99" w:rsidRDefault="00E4091F" w:rsidP="00E4091F">
      <w:pPr>
        <w:spacing w:before="0" w:after="0"/>
        <w:rPr>
          <w:rFonts w:eastAsia="Calibri" w:cs="Times New Roman"/>
          <w:sz w:val="22"/>
          <w:szCs w:val="22"/>
        </w:rPr>
      </w:pPr>
      <w:r w:rsidRPr="005F6A99">
        <w:rPr>
          <w:rFonts w:eastAsia="Calibri" w:cs="Times New Roman"/>
          <w:sz w:val="22"/>
          <w:szCs w:val="22"/>
        </w:rPr>
        <w:t>Los fideicomisos, mandatos y análogos de los cuales el Gobierno del Estado de Michoacán es fideicomisario, se detallan en el punto 6 de las Notas de desglose.</w:t>
      </w:r>
    </w:p>
    <w:p w14:paraId="7C684B9F" w14:textId="77777777" w:rsidR="00AB02F3" w:rsidRPr="005F6A99" w:rsidRDefault="00AB02F3" w:rsidP="00C33638">
      <w:pPr>
        <w:spacing w:before="0" w:after="0"/>
        <w:rPr>
          <w:rFonts w:eastAsia="Calibri" w:cs="Times New Roman"/>
          <w:b/>
          <w:sz w:val="22"/>
          <w:szCs w:val="22"/>
        </w:rPr>
      </w:pPr>
    </w:p>
    <w:p w14:paraId="3C3A6F15" w14:textId="311BA032" w:rsidR="00C33638" w:rsidRPr="005F6A99" w:rsidRDefault="00AB02F3" w:rsidP="00C33638">
      <w:pPr>
        <w:spacing w:before="0" w:after="0"/>
        <w:rPr>
          <w:rFonts w:eastAsia="Calibri" w:cs="Times New Roman"/>
          <w:b/>
          <w:sz w:val="22"/>
          <w:szCs w:val="22"/>
        </w:rPr>
      </w:pPr>
      <w:r w:rsidRPr="005F6A99">
        <w:rPr>
          <w:rFonts w:eastAsia="Calibri" w:cs="Times New Roman"/>
          <w:b/>
          <w:sz w:val="22"/>
          <w:szCs w:val="22"/>
        </w:rPr>
        <w:t>5</w:t>
      </w:r>
      <w:r w:rsidR="00C33638" w:rsidRPr="005F6A99">
        <w:rPr>
          <w:rFonts w:eastAsia="Calibri" w:cs="Times New Roman"/>
          <w:b/>
          <w:sz w:val="22"/>
          <w:szCs w:val="22"/>
        </w:rPr>
        <w:t>.</w:t>
      </w:r>
      <w:r w:rsidR="00C33638" w:rsidRPr="005F6A99">
        <w:rPr>
          <w:rFonts w:eastAsia="Calibri" w:cs="Times New Roman"/>
          <w:b/>
          <w:sz w:val="22"/>
          <w:szCs w:val="22"/>
        </w:rPr>
        <w:tab/>
        <w:t>Bases de Preparación de los Estados Financieros</w:t>
      </w:r>
      <w:r w:rsidR="00F56B06" w:rsidRPr="005F6A99">
        <w:rPr>
          <w:rFonts w:eastAsia="Calibri" w:cs="Times New Roman"/>
          <w:b/>
          <w:sz w:val="22"/>
          <w:szCs w:val="22"/>
        </w:rPr>
        <w:t>.</w:t>
      </w:r>
    </w:p>
    <w:p w14:paraId="287A66A4" w14:textId="77777777" w:rsidR="00501CF9" w:rsidRPr="005F6A99" w:rsidRDefault="00501CF9" w:rsidP="00C33638">
      <w:pPr>
        <w:spacing w:before="0" w:after="0"/>
        <w:rPr>
          <w:rFonts w:ascii="GalanoGrotesque-ExtraLight" w:eastAsia="Calibri" w:hAnsi="GalanoGrotesque-ExtraLight" w:cs="Times New Roman"/>
          <w:b/>
          <w:sz w:val="22"/>
          <w:szCs w:val="22"/>
        </w:rPr>
      </w:pPr>
    </w:p>
    <w:p w14:paraId="3DD91A5D" w14:textId="7AC6A101" w:rsidR="00AB02F3" w:rsidRPr="005F6A99" w:rsidRDefault="00AB02F3" w:rsidP="00C33638">
      <w:pPr>
        <w:spacing w:before="0" w:after="0"/>
        <w:ind w:left="720"/>
        <w:rPr>
          <w:rFonts w:eastAsia="Calibri" w:cs="Times New Roman"/>
          <w:b/>
          <w:sz w:val="22"/>
          <w:szCs w:val="22"/>
        </w:rPr>
      </w:pPr>
      <w:r w:rsidRPr="005F6A99">
        <w:rPr>
          <w:rFonts w:eastAsia="Calibri" w:cs="Times New Roman"/>
          <w:b/>
          <w:sz w:val="22"/>
          <w:szCs w:val="22"/>
        </w:rPr>
        <w:t>a). Si se ha observado la normatividad emitida por el CONAC y las disposiciones legales aplicables</w:t>
      </w:r>
      <w:r w:rsidR="00F56B06" w:rsidRPr="005F6A99">
        <w:rPr>
          <w:rFonts w:eastAsia="Calibri" w:cs="Times New Roman"/>
          <w:b/>
          <w:sz w:val="22"/>
          <w:szCs w:val="22"/>
        </w:rPr>
        <w:t>.</w:t>
      </w:r>
    </w:p>
    <w:p w14:paraId="10CCFC67" w14:textId="77777777" w:rsidR="004E4E05" w:rsidRPr="005F6A99" w:rsidRDefault="004E4E05" w:rsidP="004E4E05">
      <w:pPr>
        <w:spacing w:before="0" w:after="0"/>
        <w:rPr>
          <w:rFonts w:eastAsia="Calibri" w:cs="Times New Roman"/>
          <w:sz w:val="22"/>
          <w:szCs w:val="22"/>
        </w:rPr>
      </w:pPr>
      <w:r w:rsidRPr="005F6A99">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5F6A99">
        <w:rPr>
          <w:rFonts w:eastAsia="Calibri" w:cs="Times New Roman"/>
          <w:color w:val="C00000"/>
          <w:sz w:val="22"/>
          <w:szCs w:val="22"/>
        </w:rPr>
        <w:t xml:space="preserve"> </w:t>
      </w:r>
      <w:r w:rsidRPr="005F6A99">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22FBC11A" w14:textId="77777777" w:rsidR="004E4E05" w:rsidRPr="005F6A99" w:rsidRDefault="004E4E05" w:rsidP="004E4E05">
      <w:pPr>
        <w:spacing w:before="0" w:after="0"/>
        <w:rPr>
          <w:rFonts w:eastAsia="Calibri" w:cs="Times New Roman"/>
          <w:sz w:val="22"/>
          <w:szCs w:val="22"/>
        </w:rPr>
      </w:pPr>
    </w:p>
    <w:p w14:paraId="2F2BD970"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5F6A99">
        <w:rPr>
          <w:rFonts w:eastAsia="Times New Roman" w:cs="Times New Roman"/>
          <w:sz w:val="22"/>
          <w:szCs w:val="22"/>
          <w:lang w:val="en-US" w:eastAsia="es-MX"/>
        </w:rPr>
        <w:t>Marco Conceptual</w:t>
      </w:r>
    </w:p>
    <w:p w14:paraId="4041731B"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5F6A99">
        <w:rPr>
          <w:rFonts w:eastAsia="Times New Roman" w:cs="Times New Roman"/>
          <w:sz w:val="22"/>
          <w:szCs w:val="22"/>
          <w:lang w:eastAsia="es-MX"/>
        </w:rPr>
        <w:t xml:space="preserve">Postulados Básicos de </w:t>
      </w:r>
      <w:r w:rsidRPr="005F6A99">
        <w:rPr>
          <w:rFonts w:eastAsia="Times New Roman" w:cs="Times New Roman"/>
          <w:sz w:val="22"/>
          <w:szCs w:val="22"/>
          <w:lang w:val="en-US" w:eastAsia="es-MX"/>
        </w:rPr>
        <w:t>Contabilidad</w:t>
      </w:r>
      <w:r w:rsidRPr="005F6A99">
        <w:rPr>
          <w:rFonts w:eastAsia="Times New Roman" w:cs="Times New Roman"/>
          <w:sz w:val="22"/>
          <w:szCs w:val="22"/>
          <w:lang w:eastAsia="es-MX"/>
        </w:rPr>
        <w:t xml:space="preserve"> Gubernamental</w:t>
      </w:r>
    </w:p>
    <w:p w14:paraId="29E9AF59"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5F6A99">
        <w:rPr>
          <w:rFonts w:eastAsia="Times New Roman" w:cs="Times New Roman"/>
          <w:sz w:val="22"/>
          <w:szCs w:val="22"/>
          <w:lang w:val="en-US" w:eastAsia="es-MX"/>
        </w:rPr>
        <w:t>Clasificador</w:t>
      </w:r>
      <w:r w:rsidRPr="005F6A99">
        <w:rPr>
          <w:rFonts w:eastAsia="Times New Roman" w:cs="Times New Roman"/>
          <w:sz w:val="22"/>
          <w:szCs w:val="22"/>
          <w:lang w:eastAsia="es-MX"/>
        </w:rPr>
        <w:t xml:space="preserve"> por Objeto del Gasto</w:t>
      </w:r>
    </w:p>
    <w:p w14:paraId="04F8A953"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5F6A99">
        <w:rPr>
          <w:rFonts w:eastAsia="Times New Roman" w:cs="Times New Roman"/>
          <w:sz w:val="22"/>
          <w:szCs w:val="22"/>
          <w:lang w:eastAsia="es-MX"/>
        </w:rPr>
        <w:t>Clasificador por Tipo de Gasto</w:t>
      </w:r>
    </w:p>
    <w:p w14:paraId="52848D46"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5F6A99">
        <w:rPr>
          <w:rFonts w:eastAsia="Times New Roman" w:cs="Times New Roman"/>
          <w:sz w:val="22"/>
          <w:szCs w:val="22"/>
          <w:lang w:eastAsia="es-MX"/>
        </w:rPr>
        <w:t>Clasificador por Rubros de Ingresos</w:t>
      </w:r>
    </w:p>
    <w:p w14:paraId="422C9224"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val="en-US" w:eastAsia="es-MX"/>
        </w:rPr>
      </w:pPr>
      <w:r w:rsidRPr="005F6A99">
        <w:rPr>
          <w:rFonts w:eastAsia="Times New Roman" w:cs="Times New Roman"/>
          <w:sz w:val="22"/>
          <w:szCs w:val="22"/>
          <w:lang w:val="en-US" w:eastAsia="es-MX"/>
        </w:rPr>
        <w:lastRenderedPageBreak/>
        <w:t>Plan de</w:t>
      </w:r>
      <w:r w:rsidRPr="005F6A99">
        <w:rPr>
          <w:rFonts w:eastAsia="Times New Roman" w:cs="Times New Roman"/>
          <w:sz w:val="22"/>
          <w:szCs w:val="22"/>
          <w:lang w:eastAsia="es-MX"/>
        </w:rPr>
        <w:t xml:space="preserve"> Cuentas</w:t>
      </w:r>
      <w:r w:rsidRPr="005F6A99">
        <w:rPr>
          <w:rFonts w:eastAsia="Times New Roman" w:cs="Times New Roman"/>
          <w:sz w:val="22"/>
          <w:szCs w:val="22"/>
          <w:lang w:val="en-US" w:eastAsia="es-MX"/>
        </w:rPr>
        <w:t xml:space="preserve"> de </w:t>
      </w:r>
      <w:r w:rsidRPr="005F6A99">
        <w:rPr>
          <w:rFonts w:eastAsia="Times New Roman" w:cs="Times New Roman"/>
          <w:sz w:val="22"/>
          <w:szCs w:val="22"/>
          <w:lang w:eastAsia="es-MX"/>
        </w:rPr>
        <w:t>Contabilidad</w:t>
      </w:r>
    </w:p>
    <w:p w14:paraId="42EF5581"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eastAsia="es-MX"/>
        </w:rPr>
      </w:pPr>
      <w:r w:rsidRPr="005F6A99">
        <w:rPr>
          <w:rFonts w:eastAsia="Times New Roman" w:cs="Times New Roman"/>
          <w:sz w:val="22"/>
          <w:szCs w:val="22"/>
          <w:lang w:eastAsia="es-MX"/>
        </w:rPr>
        <w:t>Momentos Contables de los Egresos</w:t>
      </w:r>
    </w:p>
    <w:p w14:paraId="72B01B50"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val="en-US" w:eastAsia="es-MX"/>
        </w:rPr>
      </w:pPr>
      <w:r w:rsidRPr="005F6A99">
        <w:rPr>
          <w:rFonts w:eastAsia="Times New Roman" w:cs="Times New Roman"/>
          <w:sz w:val="22"/>
          <w:szCs w:val="22"/>
          <w:lang w:val="en-US" w:eastAsia="es-MX"/>
        </w:rPr>
        <w:t>Momentos Contables de los Ingresos</w:t>
      </w:r>
    </w:p>
    <w:p w14:paraId="6914CA04" w14:textId="77777777" w:rsidR="004E4E05" w:rsidRPr="005F6A99" w:rsidRDefault="004E4E05" w:rsidP="004E4E05">
      <w:pPr>
        <w:widowControl w:val="0"/>
        <w:numPr>
          <w:ilvl w:val="0"/>
          <w:numId w:val="8"/>
        </w:numPr>
        <w:kinsoku w:val="0"/>
        <w:spacing w:before="0" w:after="0"/>
        <w:ind w:left="1848" w:hanging="357"/>
        <w:contextualSpacing/>
        <w:jc w:val="left"/>
        <w:rPr>
          <w:rFonts w:eastAsia="Times New Roman" w:cs="Times New Roman"/>
          <w:sz w:val="22"/>
          <w:szCs w:val="22"/>
          <w:lang w:val="en-US" w:eastAsia="es-MX"/>
        </w:rPr>
      </w:pPr>
      <w:r w:rsidRPr="005F6A99">
        <w:rPr>
          <w:rFonts w:eastAsia="Times New Roman" w:cs="Times New Roman"/>
          <w:sz w:val="22"/>
          <w:szCs w:val="22"/>
          <w:lang w:val="en-US" w:eastAsia="es-MX"/>
        </w:rPr>
        <w:t>Manual de Contabilidad Gubernamental</w:t>
      </w:r>
    </w:p>
    <w:p w14:paraId="5D96E254" w14:textId="77777777" w:rsidR="004E4E05" w:rsidRPr="005F6A99" w:rsidRDefault="004E4E05" w:rsidP="004E4E05">
      <w:pPr>
        <w:widowControl w:val="0"/>
        <w:kinsoku w:val="0"/>
        <w:spacing w:before="0" w:after="0"/>
        <w:contextualSpacing/>
        <w:jc w:val="left"/>
        <w:rPr>
          <w:rFonts w:eastAsia="Times New Roman" w:cs="Times New Roman"/>
          <w:sz w:val="22"/>
          <w:szCs w:val="22"/>
          <w:lang w:val="en-US" w:eastAsia="es-MX"/>
        </w:rPr>
      </w:pPr>
    </w:p>
    <w:p w14:paraId="0075996B" w14:textId="77777777" w:rsidR="004E4E05" w:rsidRPr="005F6A99" w:rsidRDefault="004E4E05" w:rsidP="004E4E05">
      <w:pPr>
        <w:tabs>
          <w:tab w:val="left" w:pos="709"/>
        </w:tabs>
        <w:spacing w:before="0" w:after="0"/>
        <w:rPr>
          <w:rFonts w:eastAsia="Calibri" w:cs="Times New Roman"/>
          <w:sz w:val="22"/>
          <w:szCs w:val="22"/>
        </w:rPr>
      </w:pPr>
      <w:r w:rsidRPr="005F6A99">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3A8B5CBD" w14:textId="77777777" w:rsidR="004E4E05" w:rsidRPr="005F6A99" w:rsidRDefault="004E4E05" w:rsidP="004E4E05">
      <w:pPr>
        <w:tabs>
          <w:tab w:val="left" w:pos="709"/>
        </w:tabs>
        <w:spacing w:before="0" w:after="0"/>
        <w:rPr>
          <w:rFonts w:eastAsia="Calibri" w:cs="Times New Roman"/>
          <w:sz w:val="22"/>
          <w:szCs w:val="22"/>
        </w:rPr>
      </w:pPr>
    </w:p>
    <w:p w14:paraId="0F71815A" w14:textId="77777777" w:rsidR="004E4E05" w:rsidRPr="005F6A99" w:rsidRDefault="004E4E05" w:rsidP="004E4E05">
      <w:pPr>
        <w:tabs>
          <w:tab w:val="left" w:pos="709"/>
        </w:tabs>
        <w:spacing w:before="0" w:after="0"/>
        <w:rPr>
          <w:rFonts w:eastAsia="Calibri" w:cs="Times New Roman"/>
          <w:sz w:val="22"/>
          <w:szCs w:val="22"/>
        </w:rPr>
      </w:pPr>
      <w:r w:rsidRPr="005F6A99">
        <w:rPr>
          <w:rFonts w:eastAsia="Calibri" w:cs="Times New Roman"/>
          <w:sz w:val="22"/>
          <w:szCs w:val="22"/>
        </w:rPr>
        <w:t>En ese sentido, las políticas de contabilidad adoptadas por la Administración Pública Central del Gobierno del Estado de Michoacán de Ocampo para la elaboración de sus estados financieros, están de acuerdo con tales disposiciones.</w:t>
      </w:r>
    </w:p>
    <w:p w14:paraId="2A18696A" w14:textId="77777777" w:rsidR="00AB02F3" w:rsidRPr="005F6A99" w:rsidRDefault="00AB02F3" w:rsidP="004E4E05">
      <w:pPr>
        <w:spacing w:before="0" w:after="0"/>
        <w:rPr>
          <w:rFonts w:eastAsia="Calibri" w:cs="Times New Roman"/>
          <w:b/>
          <w:sz w:val="22"/>
          <w:szCs w:val="22"/>
        </w:rPr>
      </w:pPr>
    </w:p>
    <w:p w14:paraId="0C6C107D" w14:textId="0BDD6952" w:rsidR="00C33638" w:rsidRPr="005F6A99" w:rsidRDefault="004E4E05" w:rsidP="00C33638">
      <w:pPr>
        <w:spacing w:before="0" w:after="0"/>
        <w:ind w:left="720"/>
        <w:rPr>
          <w:rFonts w:eastAsia="Calibri" w:cs="Times New Roman"/>
          <w:b/>
          <w:sz w:val="22"/>
          <w:szCs w:val="22"/>
        </w:rPr>
      </w:pPr>
      <w:r w:rsidRPr="005F6A99">
        <w:rPr>
          <w:rFonts w:eastAsia="Calibri" w:cs="Times New Roman"/>
          <w:b/>
          <w:sz w:val="22"/>
          <w:szCs w:val="22"/>
        </w:rPr>
        <w:t xml:space="preserve">b) </w:t>
      </w:r>
      <w:r w:rsidR="00C33638" w:rsidRPr="005F6A99">
        <w:rPr>
          <w:rFonts w:eastAsia="Calibri" w:cs="Times New Roman"/>
          <w:b/>
          <w:sz w:val="22"/>
          <w:szCs w:val="22"/>
        </w:rPr>
        <w:t xml:space="preserve"> Normatividad</w:t>
      </w:r>
      <w:r w:rsidR="00F56B06" w:rsidRPr="005F6A99">
        <w:rPr>
          <w:rFonts w:eastAsia="Calibri" w:cs="Times New Roman"/>
          <w:b/>
          <w:sz w:val="22"/>
          <w:szCs w:val="22"/>
        </w:rPr>
        <w:t>.</w:t>
      </w:r>
    </w:p>
    <w:p w14:paraId="28C13C6A" w14:textId="77777777" w:rsidR="00C33638" w:rsidRPr="005F6A99" w:rsidRDefault="00C33638" w:rsidP="00C33638">
      <w:pPr>
        <w:spacing w:before="0" w:after="0"/>
        <w:rPr>
          <w:rFonts w:eastAsia="Calibri" w:cs="Times New Roman"/>
          <w:sz w:val="22"/>
          <w:szCs w:val="22"/>
        </w:rPr>
      </w:pPr>
    </w:p>
    <w:p w14:paraId="37CD753F" w14:textId="77777777" w:rsidR="00CD31EE" w:rsidRPr="005F6A99" w:rsidRDefault="00CD31EE" w:rsidP="00CD31EE">
      <w:pPr>
        <w:spacing w:before="0" w:after="0"/>
        <w:rPr>
          <w:rFonts w:eastAsia="Calibri" w:cs="Times New Roman"/>
          <w:sz w:val="22"/>
          <w:szCs w:val="22"/>
        </w:rPr>
      </w:pPr>
      <w:r w:rsidRPr="005F6A99">
        <w:rPr>
          <w:rFonts w:eastAsia="Calibri" w:cs="Times New Roman"/>
          <w:sz w:val="22"/>
          <w:szCs w:val="22"/>
        </w:rPr>
        <w:t xml:space="preserve">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w:t>
      </w:r>
      <w:r w:rsidRPr="005F6A99">
        <w:rPr>
          <w:rFonts w:eastAsia="Calibri" w:cs="Times New Roman"/>
          <w:sz w:val="22"/>
          <w:szCs w:val="22"/>
        </w:rPr>
        <w:lastRenderedPageBreak/>
        <w:t>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2022 y las demás disposiciones normativas y jurídicas vigentes para el Estado de Michoacán de Ocampo.</w:t>
      </w:r>
    </w:p>
    <w:p w14:paraId="0C28EDA9" w14:textId="77777777" w:rsidR="00CD31EE" w:rsidRPr="005F6A99" w:rsidRDefault="00CD31EE" w:rsidP="00CD31EE">
      <w:pPr>
        <w:spacing w:before="0" w:after="0"/>
        <w:rPr>
          <w:rFonts w:eastAsia="Calibri" w:cs="Times New Roman"/>
          <w:sz w:val="22"/>
          <w:szCs w:val="22"/>
        </w:rPr>
      </w:pPr>
    </w:p>
    <w:p w14:paraId="2224B8FD" w14:textId="6017CD39" w:rsidR="00CD31EE" w:rsidRPr="005F6A99" w:rsidRDefault="00CD31EE" w:rsidP="00CD31EE">
      <w:pPr>
        <w:spacing w:before="0" w:after="0"/>
        <w:rPr>
          <w:rFonts w:eastAsia="Calibri" w:cs="Times New Roman"/>
          <w:sz w:val="22"/>
          <w:szCs w:val="22"/>
        </w:rPr>
      </w:pPr>
      <w:r w:rsidRPr="005F6A99">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75D98C76" w14:textId="77777777" w:rsidR="00CD31EE" w:rsidRPr="005F6A99" w:rsidRDefault="00CD31EE" w:rsidP="00CD31EE">
      <w:pPr>
        <w:spacing w:before="0" w:after="0"/>
        <w:ind w:left="709"/>
        <w:rPr>
          <w:rFonts w:eastAsia="Calibri" w:cs="Times New Roman"/>
          <w:sz w:val="22"/>
          <w:szCs w:val="22"/>
        </w:rPr>
      </w:pPr>
    </w:p>
    <w:p w14:paraId="35EE80CE" w14:textId="77777777" w:rsidR="00CD31EE" w:rsidRPr="005F6A99" w:rsidRDefault="00CD31EE" w:rsidP="00CD31EE">
      <w:pPr>
        <w:spacing w:before="0" w:after="0"/>
        <w:rPr>
          <w:rFonts w:eastAsia="Calibri" w:cs="Times New Roman"/>
          <w:sz w:val="22"/>
          <w:szCs w:val="22"/>
        </w:rPr>
      </w:pPr>
      <w:r w:rsidRPr="005F6A99">
        <w:rPr>
          <w:rFonts w:eastAsia="Calibri" w:cs="Times New Roman"/>
          <w:sz w:val="22"/>
          <w:szCs w:val="22"/>
        </w:rPr>
        <w:t>Para el año 2022,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2022,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19D03515" w14:textId="77777777" w:rsidR="00CD31EE" w:rsidRPr="005F6A99" w:rsidRDefault="00CD31EE" w:rsidP="00CD31EE">
      <w:pPr>
        <w:spacing w:before="0" w:after="0"/>
        <w:rPr>
          <w:rFonts w:eastAsia="Calibri" w:cs="Times New Roman"/>
          <w:sz w:val="22"/>
          <w:szCs w:val="22"/>
        </w:rPr>
      </w:pPr>
    </w:p>
    <w:p w14:paraId="63911CBA" w14:textId="77777777" w:rsidR="00CD31EE" w:rsidRPr="005F6A99" w:rsidRDefault="00CD31EE" w:rsidP="00CD31EE">
      <w:pPr>
        <w:spacing w:before="0" w:after="0"/>
        <w:rPr>
          <w:rFonts w:eastAsia="Calibri" w:cs="Times New Roman"/>
          <w:sz w:val="22"/>
          <w:szCs w:val="22"/>
        </w:rPr>
      </w:pPr>
      <w:r w:rsidRPr="005F6A99">
        <w:rPr>
          <w:rFonts w:eastAsia="Calibri" w:cs="Times New Roman"/>
          <w:sz w:val="22"/>
          <w:szCs w:val="22"/>
        </w:rPr>
        <w:t xml:space="preserve">Considerando lo anterior, los registros contables se realizan con base acumulativa y la contabilización de las transacciones del gasto se efectúa conforme a la fecha de su </w:t>
      </w:r>
      <w:r w:rsidRPr="005F6A99">
        <w:rPr>
          <w:rFonts w:eastAsia="Calibri" w:cs="Times New Roman"/>
          <w:sz w:val="22"/>
          <w:szCs w:val="22"/>
        </w:rPr>
        <w:lastRenderedPageBreak/>
        <w:t>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7D38EF4F" w14:textId="0C41B691" w:rsidR="00CD31EE" w:rsidRPr="005F6A99" w:rsidRDefault="00CD31EE" w:rsidP="00456403">
      <w:pPr>
        <w:spacing w:before="0" w:after="0"/>
        <w:rPr>
          <w:rFonts w:eastAsia="Calibri" w:cs="Times New Roman"/>
          <w:sz w:val="22"/>
          <w:szCs w:val="22"/>
        </w:rPr>
      </w:pPr>
    </w:p>
    <w:p w14:paraId="79CDEA1B" w14:textId="649E011C" w:rsidR="004E4E05" w:rsidRPr="005F6A99" w:rsidRDefault="00CD31EE" w:rsidP="004A2E28">
      <w:pPr>
        <w:spacing w:before="0" w:after="0"/>
        <w:rPr>
          <w:rFonts w:eastAsia="Calibri" w:cs="Times New Roman"/>
          <w:sz w:val="22"/>
          <w:szCs w:val="22"/>
        </w:rPr>
      </w:pPr>
      <w:r w:rsidRPr="005F6A99">
        <w:rPr>
          <w:rFonts w:eastAsia="Calibri" w:cs="Times New Roman"/>
          <w:sz w:val="22"/>
          <w:szCs w:val="22"/>
        </w:rPr>
        <w:t>En la contabilidad de la Hacienda Pública Estatal, de acuerdo con lo establecido en el artículo 88 fracción III de la Ley de Planeación Hacendaria, Presupuesto, Gasto Público y Contabilidad Gubernamental del Estado de Michoacán de Ocampo, se muestran los estados analíticos sobre deuda pública.</w:t>
      </w:r>
    </w:p>
    <w:p w14:paraId="5AF1B1EC" w14:textId="77777777" w:rsidR="00E7156D" w:rsidRPr="005F6A99" w:rsidRDefault="00E7156D" w:rsidP="00C33638">
      <w:pPr>
        <w:spacing w:before="0" w:after="0"/>
        <w:ind w:left="720"/>
        <w:rPr>
          <w:rFonts w:eastAsia="Calibri" w:cs="Times New Roman"/>
          <w:b/>
          <w:sz w:val="22"/>
          <w:szCs w:val="22"/>
        </w:rPr>
      </w:pPr>
    </w:p>
    <w:p w14:paraId="49A1FB7F" w14:textId="481E2962" w:rsidR="00CD31EE" w:rsidRPr="005F6A99" w:rsidRDefault="00CD31EE" w:rsidP="00C33638">
      <w:pPr>
        <w:spacing w:before="0" w:after="0"/>
        <w:ind w:left="720"/>
        <w:rPr>
          <w:rFonts w:eastAsia="Calibri" w:cs="Times New Roman"/>
          <w:b/>
          <w:sz w:val="22"/>
          <w:szCs w:val="22"/>
        </w:rPr>
      </w:pPr>
      <w:r w:rsidRPr="005F6A99">
        <w:rPr>
          <w:rFonts w:eastAsia="Calibri" w:cs="Times New Roman"/>
          <w:b/>
          <w:sz w:val="22"/>
          <w:szCs w:val="22"/>
        </w:rPr>
        <w:t>c). Postulados básicos</w:t>
      </w:r>
      <w:r w:rsidR="00F56B06" w:rsidRPr="005F6A99">
        <w:rPr>
          <w:rFonts w:eastAsia="Calibri" w:cs="Times New Roman"/>
          <w:b/>
          <w:sz w:val="22"/>
          <w:szCs w:val="22"/>
        </w:rPr>
        <w:t>.</w:t>
      </w:r>
    </w:p>
    <w:p w14:paraId="0CF96DC8" w14:textId="77777777" w:rsidR="00E7156D" w:rsidRPr="005F6A99" w:rsidRDefault="00E7156D" w:rsidP="00CD31EE">
      <w:pPr>
        <w:spacing w:before="0" w:after="0"/>
        <w:rPr>
          <w:rFonts w:eastAsia="Calibri" w:cs="Times New Roman"/>
          <w:sz w:val="22"/>
          <w:szCs w:val="22"/>
        </w:rPr>
      </w:pPr>
    </w:p>
    <w:p w14:paraId="0B66CE12" w14:textId="054396B6" w:rsidR="00CD31EE" w:rsidRPr="005F6A99" w:rsidRDefault="00CD31EE" w:rsidP="00CD31EE">
      <w:pPr>
        <w:spacing w:before="0" w:after="0"/>
        <w:rPr>
          <w:rFonts w:eastAsia="Calibri" w:cs="Times New Roman"/>
          <w:sz w:val="22"/>
          <w:szCs w:val="22"/>
        </w:rPr>
      </w:pPr>
      <w:r w:rsidRPr="005F6A99">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01FC3E0B" w14:textId="1C9D7EE4" w:rsidR="00CD31EE" w:rsidRPr="005F6A99" w:rsidRDefault="00CD31EE" w:rsidP="00CD31EE">
      <w:pPr>
        <w:spacing w:before="0" w:after="0"/>
        <w:rPr>
          <w:rFonts w:eastAsia="Calibri" w:cs="Times New Roman"/>
          <w:sz w:val="22"/>
          <w:szCs w:val="22"/>
        </w:rPr>
      </w:pPr>
    </w:p>
    <w:p w14:paraId="6119C3FF" w14:textId="07CD8E94" w:rsidR="004A2E28" w:rsidRPr="005F6A99" w:rsidRDefault="004A2E28" w:rsidP="00CD31EE">
      <w:pPr>
        <w:spacing w:before="0" w:after="0"/>
        <w:rPr>
          <w:rFonts w:eastAsia="Calibri" w:cs="Times New Roman"/>
          <w:b/>
          <w:bCs/>
          <w:sz w:val="22"/>
          <w:szCs w:val="22"/>
        </w:rPr>
      </w:pPr>
      <w:r w:rsidRPr="005F6A99">
        <w:rPr>
          <w:rFonts w:eastAsia="Calibri" w:cs="Times New Roman"/>
          <w:b/>
          <w:bCs/>
          <w:sz w:val="22"/>
          <w:szCs w:val="22"/>
        </w:rPr>
        <w:lastRenderedPageBreak/>
        <w:t>6.- Políticas de Contabilidad Significativas.</w:t>
      </w:r>
    </w:p>
    <w:p w14:paraId="2D165999" w14:textId="77777777" w:rsidR="00C70CBA" w:rsidRPr="005F6A99" w:rsidRDefault="00C70CBA" w:rsidP="00CD31EE">
      <w:pPr>
        <w:spacing w:before="0" w:after="0"/>
        <w:ind w:left="720"/>
        <w:rPr>
          <w:rFonts w:eastAsia="Calibri" w:cs="Times New Roman"/>
          <w:b/>
          <w:sz w:val="22"/>
          <w:szCs w:val="22"/>
        </w:rPr>
      </w:pPr>
    </w:p>
    <w:p w14:paraId="1B091147" w14:textId="77777777" w:rsidR="00C70CBA" w:rsidRPr="005F6A99" w:rsidRDefault="00C70CBA" w:rsidP="00CD31EE">
      <w:pPr>
        <w:spacing w:before="0" w:after="0"/>
        <w:ind w:left="720"/>
        <w:rPr>
          <w:rFonts w:eastAsia="Calibri" w:cs="Times New Roman"/>
          <w:b/>
          <w:sz w:val="22"/>
          <w:szCs w:val="22"/>
        </w:rPr>
      </w:pPr>
      <w:r w:rsidRPr="005F6A99">
        <w:rPr>
          <w:rFonts w:eastAsia="Calibri" w:cs="Times New Roman"/>
          <w:b/>
          <w:sz w:val="22"/>
          <w:szCs w:val="22"/>
        </w:rPr>
        <w:t>a)  Actualización del valor de los activos.</w:t>
      </w:r>
    </w:p>
    <w:p w14:paraId="045ADA6A" w14:textId="26443B41" w:rsidR="00C70CBA" w:rsidRPr="005F6A99" w:rsidRDefault="00C70CBA" w:rsidP="00A300D2">
      <w:pPr>
        <w:spacing w:before="0" w:after="0"/>
        <w:rPr>
          <w:rFonts w:eastAsia="Calibri" w:cs="Times New Roman"/>
          <w:bCs/>
          <w:sz w:val="22"/>
          <w:szCs w:val="22"/>
        </w:rPr>
      </w:pPr>
      <w:r w:rsidRPr="005F6A99">
        <w:rPr>
          <w:rFonts w:eastAsia="Calibri" w:cs="Times New Roman"/>
          <w:bCs/>
          <w:sz w:val="22"/>
          <w:szCs w:val="22"/>
        </w:rPr>
        <w:t xml:space="preserve">Actualmente se encuentra en proceso de valuación y levantamiento de inventarios físicos conforme </w:t>
      </w:r>
      <w:r w:rsidR="00A300D2" w:rsidRPr="005F6A99">
        <w:rPr>
          <w:rFonts w:eastAsia="Calibri" w:cs="Times New Roman"/>
          <w:bCs/>
          <w:sz w:val="22"/>
          <w:szCs w:val="22"/>
        </w:rPr>
        <w:t>al Acuerdo por el que se emiten los Lineamientos dirigidos a asegurar que el Sistema de Contabilidad Gubernamental facilite el Registro y Control de los Inventarios de los Bienes Muebles e Inmuebles de los Entes Públicos, emitido por el Consejo Nacional de Armonización Contable.</w:t>
      </w:r>
      <w:r w:rsidRPr="005F6A99">
        <w:rPr>
          <w:rFonts w:eastAsia="Calibri" w:cs="Times New Roman"/>
          <w:bCs/>
          <w:sz w:val="22"/>
          <w:szCs w:val="22"/>
        </w:rPr>
        <w:t xml:space="preserve"> </w:t>
      </w:r>
    </w:p>
    <w:p w14:paraId="574A5C99" w14:textId="48267017" w:rsidR="00C70CBA" w:rsidRPr="005F6A99" w:rsidRDefault="00A300D2" w:rsidP="00CD31EE">
      <w:pPr>
        <w:spacing w:before="0" w:after="0"/>
        <w:ind w:left="720"/>
        <w:rPr>
          <w:rFonts w:eastAsia="Calibri" w:cs="Times New Roman"/>
          <w:b/>
          <w:sz w:val="22"/>
          <w:szCs w:val="22"/>
        </w:rPr>
      </w:pPr>
      <w:r w:rsidRPr="005F6A99">
        <w:rPr>
          <w:rFonts w:eastAsia="Calibri" w:cs="Times New Roman"/>
          <w:b/>
          <w:sz w:val="22"/>
          <w:szCs w:val="22"/>
        </w:rPr>
        <w:t>b) Informar sobre la realización de operaciones en el extranjero y de sus efectos en la información financiera gubernamental</w:t>
      </w:r>
      <w:r w:rsidR="00F56B06" w:rsidRPr="005F6A99">
        <w:rPr>
          <w:rFonts w:eastAsia="Calibri" w:cs="Times New Roman"/>
          <w:b/>
          <w:sz w:val="22"/>
          <w:szCs w:val="22"/>
        </w:rPr>
        <w:t>.</w:t>
      </w:r>
    </w:p>
    <w:p w14:paraId="5CAF5F1D" w14:textId="266D3077" w:rsidR="00A300D2" w:rsidRPr="005F6A99" w:rsidRDefault="00A300D2" w:rsidP="00A300D2">
      <w:pPr>
        <w:spacing w:before="0" w:after="0"/>
        <w:rPr>
          <w:rFonts w:eastAsia="Calibri" w:cs="Times New Roman"/>
          <w:bCs/>
          <w:sz w:val="22"/>
          <w:szCs w:val="22"/>
        </w:rPr>
      </w:pPr>
      <w:r w:rsidRPr="005F6A99">
        <w:rPr>
          <w:rFonts w:eastAsia="Calibri" w:cs="Times New Roman"/>
          <w:bCs/>
          <w:sz w:val="22"/>
          <w:szCs w:val="22"/>
        </w:rPr>
        <w:t>El Gobierno del Estado de Michoacán no realiza operaciones en el extranjero.</w:t>
      </w:r>
    </w:p>
    <w:p w14:paraId="1AF80B9C" w14:textId="77777777" w:rsidR="00A300D2" w:rsidRPr="005F6A99" w:rsidRDefault="00A300D2" w:rsidP="00CD31EE">
      <w:pPr>
        <w:spacing w:before="0" w:after="0"/>
        <w:ind w:left="720"/>
        <w:rPr>
          <w:rFonts w:eastAsia="Calibri" w:cs="Times New Roman"/>
          <w:b/>
          <w:sz w:val="22"/>
          <w:szCs w:val="22"/>
        </w:rPr>
      </w:pPr>
    </w:p>
    <w:p w14:paraId="1EE4EEBC" w14:textId="05A6F3E2" w:rsidR="00A300D2" w:rsidRPr="005F6A99" w:rsidRDefault="00A300D2" w:rsidP="00CD31EE">
      <w:pPr>
        <w:spacing w:before="0" w:after="0"/>
        <w:ind w:left="720"/>
        <w:rPr>
          <w:rFonts w:eastAsia="Calibri" w:cs="Times New Roman"/>
          <w:b/>
          <w:sz w:val="22"/>
          <w:szCs w:val="22"/>
        </w:rPr>
      </w:pPr>
      <w:r w:rsidRPr="005F6A99">
        <w:rPr>
          <w:rFonts w:eastAsia="Calibri" w:cs="Times New Roman"/>
          <w:b/>
          <w:sz w:val="22"/>
          <w:szCs w:val="22"/>
        </w:rPr>
        <w:t>c) Método de valuación en acciones de Compañías subsidiarias no consolidadas</w:t>
      </w:r>
      <w:r w:rsidR="00F56B06" w:rsidRPr="005F6A99">
        <w:rPr>
          <w:rFonts w:eastAsia="Calibri" w:cs="Times New Roman"/>
          <w:b/>
          <w:sz w:val="22"/>
          <w:szCs w:val="22"/>
        </w:rPr>
        <w:t>.</w:t>
      </w:r>
    </w:p>
    <w:p w14:paraId="1AE0820B" w14:textId="1A851E9B" w:rsidR="00A300D2" w:rsidRPr="005F6A99" w:rsidRDefault="00A300D2" w:rsidP="00A300D2">
      <w:pPr>
        <w:spacing w:before="0" w:after="0"/>
        <w:rPr>
          <w:rFonts w:eastAsia="Calibri" w:cs="Times New Roman"/>
          <w:bCs/>
          <w:sz w:val="22"/>
          <w:szCs w:val="22"/>
        </w:rPr>
      </w:pPr>
      <w:r w:rsidRPr="005F6A99">
        <w:rPr>
          <w:rFonts w:eastAsia="Calibri" w:cs="Times New Roman"/>
          <w:bCs/>
          <w:sz w:val="22"/>
          <w:szCs w:val="22"/>
        </w:rPr>
        <w:t>El Gobierno del Estado de Michoacán no cuenta con acciones en compañías subsidiarias no consolidadas.</w:t>
      </w:r>
    </w:p>
    <w:p w14:paraId="648B23E5" w14:textId="77777777" w:rsidR="00A300D2" w:rsidRPr="005F6A99" w:rsidRDefault="00A300D2" w:rsidP="00A300D2">
      <w:pPr>
        <w:spacing w:before="0" w:after="0"/>
        <w:rPr>
          <w:rFonts w:eastAsia="Calibri" w:cs="Times New Roman"/>
          <w:b/>
          <w:sz w:val="22"/>
          <w:szCs w:val="22"/>
        </w:rPr>
      </w:pPr>
    </w:p>
    <w:p w14:paraId="46BDC87A" w14:textId="5CA8AF4D" w:rsidR="00A300D2" w:rsidRPr="005F6A99" w:rsidRDefault="00A300D2" w:rsidP="00CD31EE">
      <w:pPr>
        <w:spacing w:before="0" w:after="0"/>
        <w:ind w:left="720"/>
        <w:rPr>
          <w:rFonts w:eastAsia="Calibri" w:cs="Times New Roman"/>
          <w:b/>
          <w:sz w:val="22"/>
          <w:szCs w:val="22"/>
        </w:rPr>
      </w:pPr>
      <w:r w:rsidRPr="005F6A99">
        <w:rPr>
          <w:rFonts w:eastAsia="Calibri" w:cs="Times New Roman"/>
          <w:b/>
          <w:sz w:val="22"/>
          <w:szCs w:val="22"/>
        </w:rPr>
        <w:t>d) Sistema y costo de valuación del costo de lo vendido</w:t>
      </w:r>
      <w:r w:rsidR="00F56B06" w:rsidRPr="005F6A99">
        <w:rPr>
          <w:rFonts w:eastAsia="Calibri" w:cs="Times New Roman"/>
          <w:b/>
          <w:sz w:val="22"/>
          <w:szCs w:val="22"/>
        </w:rPr>
        <w:t>.</w:t>
      </w:r>
    </w:p>
    <w:p w14:paraId="43004486" w14:textId="28FEEB29" w:rsidR="00A300D2" w:rsidRPr="005F6A99" w:rsidRDefault="00A300D2" w:rsidP="00301F26">
      <w:pPr>
        <w:spacing w:before="0" w:after="0"/>
        <w:rPr>
          <w:rFonts w:eastAsia="Calibri" w:cs="Times New Roman"/>
          <w:bCs/>
          <w:sz w:val="22"/>
          <w:szCs w:val="22"/>
        </w:rPr>
      </w:pPr>
      <w:r w:rsidRPr="005F6A99">
        <w:rPr>
          <w:rFonts w:eastAsia="Calibri" w:cs="Times New Roman"/>
          <w:bCs/>
          <w:sz w:val="22"/>
          <w:szCs w:val="22"/>
        </w:rPr>
        <w:t>El Gobierno del Estado de Michoacán no realiza ventas, como parte de su actividad principal.</w:t>
      </w:r>
    </w:p>
    <w:p w14:paraId="12DAC059" w14:textId="2E967239" w:rsidR="00A300D2" w:rsidRPr="005F6A99" w:rsidRDefault="00A300D2" w:rsidP="00CD31EE">
      <w:pPr>
        <w:spacing w:before="0" w:after="0"/>
        <w:ind w:left="720"/>
        <w:rPr>
          <w:rFonts w:eastAsia="Calibri" w:cs="Times New Roman"/>
          <w:b/>
          <w:sz w:val="22"/>
          <w:szCs w:val="22"/>
        </w:rPr>
      </w:pPr>
      <w:r w:rsidRPr="005F6A99">
        <w:rPr>
          <w:rFonts w:eastAsia="Calibri" w:cs="Times New Roman"/>
          <w:b/>
          <w:sz w:val="22"/>
          <w:szCs w:val="22"/>
        </w:rPr>
        <w:t>e) Depuración y cancelación de saldos</w:t>
      </w:r>
      <w:r w:rsidR="00F56B06" w:rsidRPr="005F6A99">
        <w:rPr>
          <w:rFonts w:eastAsia="Calibri" w:cs="Times New Roman"/>
          <w:b/>
          <w:sz w:val="22"/>
          <w:szCs w:val="22"/>
        </w:rPr>
        <w:t>.</w:t>
      </w:r>
    </w:p>
    <w:p w14:paraId="4F1529C7" w14:textId="3C5F2A50" w:rsidR="00A300D2" w:rsidRPr="005F6A99" w:rsidRDefault="00A300D2" w:rsidP="00A300D2">
      <w:pPr>
        <w:spacing w:before="0" w:after="0"/>
        <w:rPr>
          <w:rFonts w:eastAsia="Calibri" w:cs="Times New Roman"/>
          <w:bCs/>
          <w:sz w:val="22"/>
          <w:szCs w:val="22"/>
        </w:rPr>
      </w:pPr>
      <w:r w:rsidRPr="005F6A99">
        <w:rPr>
          <w:rFonts w:eastAsia="Calibri" w:cs="Times New Roman"/>
          <w:bCs/>
          <w:sz w:val="22"/>
          <w:szCs w:val="22"/>
        </w:rPr>
        <w:t>El Gobierno del Estado de Michoacán</w:t>
      </w:r>
      <w:r w:rsidR="00301F26" w:rsidRPr="005F6A99">
        <w:rPr>
          <w:rFonts w:eastAsia="Calibri" w:cs="Times New Roman"/>
          <w:bCs/>
          <w:sz w:val="22"/>
          <w:szCs w:val="22"/>
        </w:rPr>
        <w:t>, como parte de sus prioridades de mantener finanzas sanas y una rendición de cuentas</w:t>
      </w:r>
      <w:r w:rsidRPr="005F6A99">
        <w:rPr>
          <w:rFonts w:eastAsia="Calibri" w:cs="Times New Roman"/>
          <w:bCs/>
          <w:sz w:val="22"/>
          <w:szCs w:val="22"/>
        </w:rPr>
        <w:t xml:space="preserve"> </w:t>
      </w:r>
      <w:r w:rsidR="00301F26" w:rsidRPr="005F6A99">
        <w:rPr>
          <w:rFonts w:eastAsia="Calibri" w:cs="Times New Roman"/>
          <w:bCs/>
          <w:sz w:val="22"/>
          <w:szCs w:val="22"/>
        </w:rPr>
        <w:t>que permitan a la ciudadanía conocer el estado de la situación financiera del Estado de Michoacán, se ha dado a la tarea de realizar una depuración de saldos que son derivados de ejercicios anteri</w:t>
      </w:r>
      <w:r w:rsidR="008E4AC2" w:rsidRPr="005F6A99">
        <w:rPr>
          <w:rFonts w:eastAsia="Calibri" w:cs="Times New Roman"/>
          <w:bCs/>
          <w:sz w:val="22"/>
          <w:szCs w:val="22"/>
        </w:rPr>
        <w:t>o</w:t>
      </w:r>
      <w:r w:rsidR="00301F26" w:rsidRPr="005F6A99">
        <w:rPr>
          <w:rFonts w:eastAsia="Calibri" w:cs="Times New Roman"/>
          <w:bCs/>
          <w:sz w:val="22"/>
          <w:szCs w:val="22"/>
        </w:rPr>
        <w:t>res, por omisiones o errores contables.</w:t>
      </w:r>
    </w:p>
    <w:p w14:paraId="5E11796D" w14:textId="5F6C2F73" w:rsidR="00301F26" w:rsidRPr="005F6A99" w:rsidRDefault="00301F26" w:rsidP="00A300D2">
      <w:pPr>
        <w:spacing w:before="0" w:after="0"/>
        <w:rPr>
          <w:rFonts w:eastAsia="Calibri" w:cs="Times New Roman"/>
          <w:bCs/>
          <w:sz w:val="22"/>
          <w:szCs w:val="22"/>
        </w:rPr>
      </w:pPr>
    </w:p>
    <w:p w14:paraId="54653B59" w14:textId="26AFDA24" w:rsidR="00301F26" w:rsidRPr="005F6A99" w:rsidRDefault="00301F26" w:rsidP="00A300D2">
      <w:pPr>
        <w:spacing w:before="0" w:after="0"/>
        <w:rPr>
          <w:rFonts w:eastAsia="Calibri" w:cs="Times New Roman"/>
          <w:bCs/>
          <w:sz w:val="22"/>
          <w:szCs w:val="22"/>
        </w:rPr>
      </w:pPr>
      <w:r w:rsidRPr="005F6A99">
        <w:rPr>
          <w:rFonts w:eastAsia="Calibri" w:cs="Times New Roman"/>
          <w:bCs/>
          <w:sz w:val="22"/>
          <w:szCs w:val="22"/>
        </w:rPr>
        <w:lastRenderedPageBreak/>
        <w:t>De esta manera se encuentran en proceso la eliminación de cuentas bancarias que ya han sido canceladas y siguen arrojando saldos, la depuración de cuentas por cobrar y de saldos pendientes de pago, así como la reclasificación de activos y pasivos que no fueron registrados conforme lo establecen las reglas contables y patrimoniales.</w:t>
      </w:r>
    </w:p>
    <w:p w14:paraId="31CEE487" w14:textId="77777777" w:rsidR="00E7156D" w:rsidRPr="005F6A99" w:rsidRDefault="00E7156D" w:rsidP="00A300D2">
      <w:pPr>
        <w:spacing w:before="0" w:after="0"/>
        <w:rPr>
          <w:rFonts w:eastAsia="Calibri" w:cs="Times New Roman"/>
          <w:bCs/>
          <w:sz w:val="22"/>
          <w:szCs w:val="22"/>
        </w:rPr>
      </w:pPr>
    </w:p>
    <w:p w14:paraId="68837EF6" w14:textId="4E59F876" w:rsidR="006609FF" w:rsidRPr="005F6A99" w:rsidRDefault="006609FF" w:rsidP="00A300D2">
      <w:pPr>
        <w:spacing w:before="0" w:after="0"/>
        <w:rPr>
          <w:rFonts w:eastAsia="Calibri" w:cs="Times New Roman"/>
          <w:b/>
          <w:sz w:val="22"/>
          <w:szCs w:val="22"/>
        </w:rPr>
      </w:pPr>
      <w:r w:rsidRPr="005F6A99">
        <w:rPr>
          <w:rFonts w:eastAsia="Calibri" w:cs="Times New Roman"/>
          <w:b/>
          <w:sz w:val="22"/>
          <w:szCs w:val="22"/>
        </w:rPr>
        <w:t>7. Posición en moneda extranjera y protección por riesgo cambiario</w:t>
      </w:r>
      <w:r w:rsidR="00F56B06" w:rsidRPr="005F6A99">
        <w:rPr>
          <w:rFonts w:eastAsia="Calibri" w:cs="Times New Roman"/>
          <w:b/>
          <w:sz w:val="22"/>
          <w:szCs w:val="22"/>
        </w:rPr>
        <w:t>.</w:t>
      </w:r>
    </w:p>
    <w:p w14:paraId="775E7B8A" w14:textId="77777777" w:rsidR="00E7156D" w:rsidRPr="005F6A99" w:rsidRDefault="00E7156D" w:rsidP="00A300D2">
      <w:pPr>
        <w:spacing w:before="0" w:after="0"/>
        <w:rPr>
          <w:rFonts w:eastAsia="Calibri" w:cs="Times New Roman"/>
          <w:bCs/>
          <w:sz w:val="22"/>
          <w:szCs w:val="22"/>
        </w:rPr>
      </w:pPr>
    </w:p>
    <w:p w14:paraId="26DCD364" w14:textId="57F544D5" w:rsidR="006609FF" w:rsidRPr="005F6A99" w:rsidRDefault="006609FF" w:rsidP="00A300D2">
      <w:pPr>
        <w:spacing w:before="0" w:after="0"/>
        <w:rPr>
          <w:rFonts w:eastAsia="Calibri" w:cs="Times New Roman"/>
          <w:bCs/>
          <w:sz w:val="22"/>
          <w:szCs w:val="22"/>
        </w:rPr>
      </w:pPr>
      <w:r w:rsidRPr="005F6A99">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50147E97" w14:textId="77777777" w:rsidR="00D27DE0" w:rsidRPr="005F6A99" w:rsidRDefault="00D27DE0" w:rsidP="00C33638">
      <w:pPr>
        <w:spacing w:before="0" w:after="0"/>
        <w:rPr>
          <w:rFonts w:eastAsia="Calibri" w:cs="Times New Roman"/>
          <w:b/>
          <w:sz w:val="22"/>
          <w:szCs w:val="22"/>
        </w:rPr>
      </w:pPr>
    </w:p>
    <w:p w14:paraId="070E6611" w14:textId="6C9D9863" w:rsidR="001A50BF" w:rsidRPr="005F6A99" w:rsidRDefault="001A50BF" w:rsidP="00C33638">
      <w:pPr>
        <w:spacing w:before="0" w:after="0"/>
        <w:rPr>
          <w:rFonts w:eastAsia="Calibri" w:cs="Times New Roman"/>
          <w:b/>
          <w:sz w:val="22"/>
          <w:szCs w:val="22"/>
        </w:rPr>
      </w:pPr>
      <w:r w:rsidRPr="005F6A99">
        <w:rPr>
          <w:rFonts w:eastAsia="Calibri" w:cs="Times New Roman"/>
          <w:b/>
          <w:sz w:val="22"/>
          <w:szCs w:val="22"/>
        </w:rPr>
        <w:t>8. Reporte Analítico del Activo</w:t>
      </w:r>
      <w:r w:rsidR="00F56B06" w:rsidRPr="005F6A99">
        <w:rPr>
          <w:rFonts w:eastAsia="Calibri" w:cs="Times New Roman"/>
          <w:b/>
          <w:sz w:val="22"/>
          <w:szCs w:val="22"/>
        </w:rPr>
        <w:t>.</w:t>
      </w:r>
    </w:p>
    <w:p w14:paraId="55FE2B9E" w14:textId="77777777" w:rsidR="00E7156D" w:rsidRPr="005F6A99" w:rsidRDefault="00E7156D" w:rsidP="00C33638">
      <w:pPr>
        <w:spacing w:before="0" w:after="0"/>
        <w:rPr>
          <w:rFonts w:eastAsia="Calibri" w:cs="Times New Roman"/>
          <w:b/>
          <w:sz w:val="22"/>
          <w:szCs w:val="22"/>
        </w:rPr>
      </w:pPr>
    </w:p>
    <w:p w14:paraId="79CB06CB" w14:textId="77777777" w:rsidR="00594022" w:rsidRPr="005F6A99" w:rsidRDefault="00594022" w:rsidP="00C33638">
      <w:pPr>
        <w:spacing w:before="0" w:after="0"/>
        <w:rPr>
          <w:rFonts w:eastAsia="Calibri" w:cs="Times New Roman"/>
          <w:b/>
          <w:sz w:val="22"/>
          <w:szCs w:val="22"/>
        </w:rPr>
      </w:pPr>
    </w:p>
    <w:p w14:paraId="7AD3783F" w14:textId="74EBFFC7" w:rsidR="001A50BF" w:rsidRPr="005F6A99" w:rsidRDefault="001A50BF" w:rsidP="00C33638">
      <w:pPr>
        <w:spacing w:before="0" w:after="0"/>
        <w:rPr>
          <w:rFonts w:eastAsia="Calibri" w:cs="Times New Roman"/>
          <w:b/>
          <w:sz w:val="22"/>
          <w:szCs w:val="22"/>
        </w:rPr>
      </w:pPr>
      <w:r w:rsidRPr="005F6A99">
        <w:rPr>
          <w:rFonts w:eastAsia="Calibri" w:cs="Times New Roman"/>
          <w:b/>
          <w:sz w:val="22"/>
          <w:szCs w:val="22"/>
        </w:rPr>
        <w:t xml:space="preserve">a). </w:t>
      </w:r>
      <w:r w:rsidR="009F5AAE" w:rsidRPr="005F6A99">
        <w:rPr>
          <w:rFonts w:eastAsia="Calibri" w:cs="Times New Roman"/>
          <w:b/>
          <w:sz w:val="22"/>
          <w:szCs w:val="22"/>
        </w:rPr>
        <w:t>Vida útil, porcentajes de depreciación, deterioro o amortización utilizados en los diferentes tipos de activos</w:t>
      </w:r>
      <w:r w:rsidR="00F56B06" w:rsidRPr="005F6A99">
        <w:rPr>
          <w:rFonts w:eastAsia="Calibri" w:cs="Times New Roman"/>
          <w:b/>
          <w:sz w:val="22"/>
          <w:szCs w:val="22"/>
        </w:rPr>
        <w:t>.</w:t>
      </w:r>
    </w:p>
    <w:p w14:paraId="58FD35BC" w14:textId="0503639D" w:rsidR="009F5AAE" w:rsidRPr="005F6A99" w:rsidRDefault="009F5AAE" w:rsidP="00C33638">
      <w:pPr>
        <w:spacing w:before="0" w:after="0"/>
        <w:rPr>
          <w:rFonts w:eastAsia="Calibri" w:cs="Times New Roman"/>
          <w:bCs/>
          <w:sz w:val="22"/>
          <w:szCs w:val="22"/>
        </w:rPr>
      </w:pPr>
    </w:p>
    <w:p w14:paraId="26B46BFE" w14:textId="3A74CB4F" w:rsidR="009F5AAE" w:rsidRPr="005F6A99" w:rsidRDefault="009F5AAE" w:rsidP="00C33638">
      <w:pPr>
        <w:spacing w:before="0" w:after="0"/>
        <w:rPr>
          <w:rFonts w:eastAsia="Calibri" w:cs="Times New Roman"/>
          <w:bCs/>
          <w:sz w:val="22"/>
          <w:szCs w:val="22"/>
        </w:rPr>
      </w:pPr>
      <w:r w:rsidRPr="005F6A99">
        <w:rPr>
          <w:rFonts w:eastAsia="Calibri" w:cs="Times New Roman"/>
          <w:bCs/>
          <w:sz w:val="22"/>
          <w:szCs w:val="22"/>
        </w:rPr>
        <w:t>El Gobierno del Estado de Michoacán, a través de su Dirección de Patrimonio Estatal, se encuentra en proceso de actualización y levantamiento de inventario físico de los bienes muebles e inmuebles, registrando conforme a lo establecido en las Principales Reglas de Registro y Valoración del Patrimonio, las Reglas Específicas del Registro y Valoración del Patrimonio y los Parámetros de Estimación de Vida Útil, emitidas y publicadas por el Consejo Nacional de Armonización Contable.</w:t>
      </w:r>
    </w:p>
    <w:p w14:paraId="2DA86111" w14:textId="2FA098C0" w:rsidR="009F5AAE" w:rsidRPr="005F6A99" w:rsidRDefault="009F5AAE" w:rsidP="00C33638">
      <w:pPr>
        <w:spacing w:before="0" w:after="0"/>
        <w:rPr>
          <w:rFonts w:eastAsia="Calibri" w:cs="Times New Roman"/>
          <w:bCs/>
          <w:sz w:val="22"/>
          <w:szCs w:val="22"/>
        </w:rPr>
      </w:pPr>
    </w:p>
    <w:p w14:paraId="2212CB14" w14:textId="77777777" w:rsidR="00E7156D" w:rsidRPr="005F6A99" w:rsidRDefault="00E7156D" w:rsidP="00C33638">
      <w:pPr>
        <w:spacing w:before="0" w:after="0"/>
        <w:rPr>
          <w:rFonts w:eastAsia="Calibri" w:cs="Times New Roman"/>
          <w:b/>
          <w:sz w:val="22"/>
          <w:szCs w:val="22"/>
        </w:rPr>
      </w:pPr>
    </w:p>
    <w:p w14:paraId="3F10D3D8" w14:textId="12DC220B" w:rsidR="009F5AAE" w:rsidRPr="005F6A99" w:rsidRDefault="009F5AAE" w:rsidP="00C33638">
      <w:pPr>
        <w:spacing w:before="0" w:after="0"/>
        <w:rPr>
          <w:rFonts w:eastAsia="Calibri" w:cs="Times New Roman"/>
          <w:b/>
          <w:sz w:val="22"/>
          <w:szCs w:val="22"/>
        </w:rPr>
      </w:pPr>
      <w:r w:rsidRPr="005F6A99">
        <w:rPr>
          <w:rFonts w:eastAsia="Calibri" w:cs="Times New Roman"/>
          <w:b/>
          <w:sz w:val="22"/>
          <w:szCs w:val="22"/>
        </w:rPr>
        <w:lastRenderedPageBreak/>
        <w:t>b)</w:t>
      </w:r>
      <w:r w:rsidR="00EF61E2" w:rsidRPr="005F6A99">
        <w:rPr>
          <w:rFonts w:eastAsia="Calibri" w:cs="Times New Roman"/>
          <w:b/>
          <w:sz w:val="22"/>
          <w:szCs w:val="22"/>
        </w:rPr>
        <w:t xml:space="preserve"> </w:t>
      </w:r>
      <w:r w:rsidRPr="005F6A99">
        <w:rPr>
          <w:rFonts w:eastAsia="Calibri" w:cs="Times New Roman"/>
          <w:b/>
          <w:sz w:val="22"/>
          <w:szCs w:val="22"/>
        </w:rPr>
        <w:t xml:space="preserve">Cambios en el porcentaje de </w:t>
      </w:r>
      <w:r w:rsidR="00EF61E2" w:rsidRPr="005F6A99">
        <w:rPr>
          <w:rFonts w:eastAsia="Calibri" w:cs="Times New Roman"/>
          <w:b/>
          <w:sz w:val="22"/>
          <w:szCs w:val="22"/>
        </w:rPr>
        <w:t>depreciación o valor residual de los activos.</w:t>
      </w:r>
    </w:p>
    <w:p w14:paraId="5665FF99" w14:textId="41A60F7D" w:rsidR="00EF61E2" w:rsidRPr="005F6A99" w:rsidRDefault="00EF61E2" w:rsidP="00C33638">
      <w:pPr>
        <w:spacing w:before="0" w:after="0"/>
        <w:rPr>
          <w:rFonts w:eastAsia="Calibri" w:cs="Times New Roman"/>
          <w:bCs/>
          <w:sz w:val="22"/>
          <w:szCs w:val="22"/>
        </w:rPr>
      </w:pPr>
    </w:p>
    <w:p w14:paraId="1AAD0DB9" w14:textId="7632CDB2" w:rsidR="00EF61E2" w:rsidRPr="005F6A99" w:rsidRDefault="00EF61E2" w:rsidP="00C33638">
      <w:pPr>
        <w:spacing w:before="0" w:after="0"/>
        <w:rPr>
          <w:rFonts w:eastAsia="Calibri" w:cs="Times New Roman"/>
          <w:bCs/>
          <w:sz w:val="22"/>
          <w:szCs w:val="22"/>
        </w:rPr>
      </w:pPr>
      <w:r w:rsidRPr="005F6A99">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160A2858" w14:textId="1EBA630E" w:rsidR="00EF61E2" w:rsidRPr="005F6A99" w:rsidRDefault="00EF61E2" w:rsidP="00C33638">
      <w:pPr>
        <w:spacing w:before="0" w:after="0"/>
        <w:rPr>
          <w:rFonts w:eastAsia="Calibri" w:cs="Times New Roman"/>
          <w:bCs/>
          <w:sz w:val="22"/>
          <w:szCs w:val="22"/>
        </w:rPr>
      </w:pPr>
    </w:p>
    <w:p w14:paraId="6F76D491" w14:textId="6751B898" w:rsidR="00EF61E2" w:rsidRPr="005F6A99" w:rsidRDefault="00EF61E2" w:rsidP="00C33638">
      <w:pPr>
        <w:spacing w:before="0" w:after="0"/>
        <w:rPr>
          <w:rFonts w:eastAsia="Calibri" w:cs="Times New Roman"/>
          <w:b/>
          <w:sz w:val="22"/>
          <w:szCs w:val="22"/>
        </w:rPr>
      </w:pPr>
      <w:r w:rsidRPr="005F6A99">
        <w:rPr>
          <w:rFonts w:eastAsia="Calibri" w:cs="Times New Roman"/>
          <w:b/>
          <w:sz w:val="22"/>
          <w:szCs w:val="22"/>
        </w:rPr>
        <w:t>c) Importe de los gastos capitalizados en el ejercicio, tanto financieros con de investigación y desarrollo.</w:t>
      </w:r>
    </w:p>
    <w:p w14:paraId="45238EA3" w14:textId="15F824A8" w:rsidR="00EF61E2" w:rsidRPr="005F6A99" w:rsidRDefault="00EF61E2" w:rsidP="00C33638">
      <w:pPr>
        <w:spacing w:before="0" w:after="0"/>
        <w:rPr>
          <w:rFonts w:eastAsia="Calibri" w:cs="Times New Roman"/>
          <w:bCs/>
          <w:sz w:val="22"/>
          <w:szCs w:val="22"/>
        </w:rPr>
      </w:pPr>
      <w:r w:rsidRPr="005F6A99">
        <w:rPr>
          <w:rFonts w:eastAsia="Calibri" w:cs="Times New Roman"/>
          <w:bCs/>
          <w:sz w:val="22"/>
          <w:szCs w:val="22"/>
        </w:rPr>
        <w:t>Durante los primeros 3 trimestres del ejercicio no se ha realizado capitalización de gastos.</w:t>
      </w:r>
    </w:p>
    <w:p w14:paraId="6BA2EC90" w14:textId="66D1D504" w:rsidR="00EF61E2" w:rsidRPr="005F6A99" w:rsidRDefault="00EF61E2" w:rsidP="00C33638">
      <w:pPr>
        <w:spacing w:before="0" w:after="0"/>
        <w:rPr>
          <w:rFonts w:eastAsia="Calibri" w:cs="Times New Roman"/>
          <w:bCs/>
          <w:sz w:val="22"/>
          <w:szCs w:val="22"/>
        </w:rPr>
      </w:pPr>
    </w:p>
    <w:p w14:paraId="1AE5D7D1" w14:textId="10816737" w:rsidR="00EF61E2" w:rsidRPr="005F6A99" w:rsidRDefault="00EF61E2" w:rsidP="00C33638">
      <w:pPr>
        <w:spacing w:before="0" w:after="0"/>
        <w:rPr>
          <w:rFonts w:eastAsia="Calibri" w:cs="Times New Roman"/>
          <w:b/>
          <w:sz w:val="22"/>
          <w:szCs w:val="22"/>
        </w:rPr>
      </w:pPr>
      <w:r w:rsidRPr="005F6A99">
        <w:rPr>
          <w:rFonts w:eastAsia="Calibri" w:cs="Times New Roman"/>
          <w:b/>
          <w:sz w:val="22"/>
          <w:szCs w:val="22"/>
        </w:rPr>
        <w:t>d) Riesgos por tipo de cambio o tipo de interés de las inversiones financieras.</w:t>
      </w:r>
    </w:p>
    <w:p w14:paraId="4F616479" w14:textId="3FD742FF" w:rsidR="00EF61E2" w:rsidRPr="005F6A99" w:rsidRDefault="00EF61E2" w:rsidP="00C33638">
      <w:pPr>
        <w:spacing w:before="0" w:after="0"/>
        <w:rPr>
          <w:rFonts w:eastAsia="Calibri" w:cs="Times New Roman"/>
          <w:bCs/>
          <w:sz w:val="22"/>
          <w:szCs w:val="22"/>
        </w:rPr>
      </w:pPr>
      <w:r w:rsidRPr="005F6A99">
        <w:rPr>
          <w:rFonts w:eastAsia="Calibri" w:cs="Times New Roman"/>
          <w:bCs/>
          <w:sz w:val="22"/>
          <w:szCs w:val="22"/>
        </w:rPr>
        <w:t>El Gobierno del Estado de Michoacán no realiza inversiones en moneda extranjera ni consideradas de riesgo.</w:t>
      </w:r>
    </w:p>
    <w:p w14:paraId="403206E1" w14:textId="5A3EC233" w:rsidR="00AF64ED" w:rsidRPr="005F6A99" w:rsidRDefault="00AF64ED" w:rsidP="00C33638">
      <w:pPr>
        <w:spacing w:before="0" w:after="0"/>
        <w:rPr>
          <w:rFonts w:eastAsia="Calibri" w:cs="Times New Roman"/>
          <w:bCs/>
          <w:sz w:val="22"/>
          <w:szCs w:val="22"/>
        </w:rPr>
      </w:pPr>
    </w:p>
    <w:p w14:paraId="34ACFDE9" w14:textId="1CC07233" w:rsidR="00AF64ED" w:rsidRPr="005F6A99" w:rsidRDefault="00AF64ED" w:rsidP="00C33638">
      <w:pPr>
        <w:spacing w:before="0" w:after="0"/>
        <w:rPr>
          <w:rFonts w:eastAsia="Calibri" w:cs="Times New Roman"/>
          <w:b/>
          <w:sz w:val="22"/>
          <w:szCs w:val="22"/>
        </w:rPr>
      </w:pPr>
      <w:r w:rsidRPr="005F6A99">
        <w:rPr>
          <w:rFonts w:eastAsia="Calibri" w:cs="Times New Roman"/>
          <w:b/>
          <w:sz w:val="22"/>
          <w:szCs w:val="22"/>
        </w:rPr>
        <w:t>e) Valor activado en el ejercicio de los bienes construidos por la entidad</w:t>
      </w:r>
      <w:r w:rsidR="00F56B06" w:rsidRPr="005F6A99">
        <w:rPr>
          <w:rFonts w:eastAsia="Calibri" w:cs="Times New Roman"/>
          <w:b/>
          <w:sz w:val="22"/>
          <w:szCs w:val="22"/>
        </w:rPr>
        <w:t>.</w:t>
      </w:r>
    </w:p>
    <w:p w14:paraId="76A05F2E" w14:textId="3ECBA122" w:rsidR="00EF61E2" w:rsidRPr="005F6A99" w:rsidRDefault="00AF64ED" w:rsidP="00C33638">
      <w:pPr>
        <w:spacing w:before="0" w:after="0"/>
        <w:rPr>
          <w:rFonts w:eastAsia="Calibri" w:cs="Times New Roman"/>
          <w:bCs/>
          <w:sz w:val="22"/>
          <w:szCs w:val="22"/>
        </w:rPr>
      </w:pPr>
      <w:r w:rsidRPr="005F6A99">
        <w:rPr>
          <w:rFonts w:eastAsia="Calibri" w:cs="Times New Roman"/>
          <w:bCs/>
          <w:sz w:val="22"/>
          <w:szCs w:val="22"/>
        </w:rPr>
        <w:t>No existen datos que informar en este rubro, en el periodo que se informa.</w:t>
      </w:r>
    </w:p>
    <w:p w14:paraId="24F16E98" w14:textId="5D2C7D81" w:rsidR="00AF64ED" w:rsidRPr="005F6A99" w:rsidRDefault="00AF64ED" w:rsidP="00C33638">
      <w:pPr>
        <w:spacing w:before="0" w:after="0"/>
        <w:rPr>
          <w:rFonts w:eastAsia="Calibri" w:cs="Times New Roman"/>
          <w:bCs/>
          <w:sz w:val="22"/>
          <w:szCs w:val="22"/>
        </w:rPr>
      </w:pPr>
    </w:p>
    <w:p w14:paraId="0ED7B839" w14:textId="705E8B5B" w:rsidR="00AF64ED" w:rsidRPr="005F6A99" w:rsidRDefault="00AF64ED" w:rsidP="00C33638">
      <w:pPr>
        <w:spacing w:before="0" w:after="0"/>
        <w:rPr>
          <w:rFonts w:eastAsia="Calibri" w:cs="Times New Roman"/>
          <w:b/>
          <w:sz w:val="22"/>
          <w:szCs w:val="22"/>
        </w:rPr>
      </w:pPr>
      <w:r w:rsidRPr="005F6A99">
        <w:rPr>
          <w:rFonts w:eastAsia="Calibri" w:cs="Times New Roman"/>
          <w:b/>
          <w:sz w:val="22"/>
          <w:szCs w:val="22"/>
        </w:rPr>
        <w:t>f) Otras circunstancias de carácter significativo que afecten el activo.</w:t>
      </w:r>
    </w:p>
    <w:p w14:paraId="23269DA5" w14:textId="77777777" w:rsidR="00AF64ED" w:rsidRPr="005F6A99" w:rsidRDefault="00AF64ED" w:rsidP="00AF64ED">
      <w:pPr>
        <w:spacing w:before="0" w:after="0"/>
        <w:rPr>
          <w:rFonts w:eastAsia="Calibri" w:cs="Times New Roman"/>
          <w:bCs/>
          <w:sz w:val="22"/>
          <w:szCs w:val="22"/>
        </w:rPr>
      </w:pPr>
      <w:r w:rsidRPr="005F6A99">
        <w:rPr>
          <w:rFonts w:eastAsia="Calibri" w:cs="Times New Roman"/>
          <w:bCs/>
          <w:sz w:val="22"/>
          <w:szCs w:val="22"/>
        </w:rPr>
        <w:t>No existen datos que informar en este rubro, en el periodo que se informa.</w:t>
      </w:r>
    </w:p>
    <w:p w14:paraId="59EF176F" w14:textId="77777777" w:rsidR="00E7156D" w:rsidRPr="005F6A99" w:rsidRDefault="00E7156D" w:rsidP="00C33638">
      <w:pPr>
        <w:spacing w:before="0" w:after="0"/>
        <w:rPr>
          <w:rFonts w:eastAsia="Calibri" w:cs="Times New Roman"/>
          <w:b/>
          <w:sz w:val="22"/>
          <w:szCs w:val="22"/>
        </w:rPr>
      </w:pPr>
    </w:p>
    <w:p w14:paraId="351767D8" w14:textId="1DE9E094" w:rsidR="00AF64ED" w:rsidRPr="005F6A99" w:rsidRDefault="00AF64ED" w:rsidP="00C33638">
      <w:pPr>
        <w:spacing w:before="0" w:after="0"/>
        <w:rPr>
          <w:rFonts w:eastAsia="Calibri" w:cs="Times New Roman"/>
          <w:b/>
          <w:sz w:val="22"/>
          <w:szCs w:val="22"/>
        </w:rPr>
      </w:pPr>
      <w:r w:rsidRPr="005F6A99">
        <w:rPr>
          <w:rFonts w:eastAsia="Calibri" w:cs="Times New Roman"/>
          <w:b/>
          <w:sz w:val="22"/>
          <w:szCs w:val="22"/>
        </w:rPr>
        <w:t>g) Desmantelamiento de Activos</w:t>
      </w:r>
      <w:r w:rsidR="00F56B06" w:rsidRPr="005F6A99">
        <w:rPr>
          <w:rFonts w:eastAsia="Calibri" w:cs="Times New Roman"/>
          <w:b/>
          <w:sz w:val="22"/>
          <w:szCs w:val="22"/>
        </w:rPr>
        <w:t>.</w:t>
      </w:r>
      <w:r w:rsidRPr="005F6A99">
        <w:rPr>
          <w:rFonts w:eastAsia="Calibri" w:cs="Times New Roman"/>
          <w:b/>
          <w:sz w:val="22"/>
          <w:szCs w:val="22"/>
        </w:rPr>
        <w:t xml:space="preserve"> </w:t>
      </w:r>
    </w:p>
    <w:p w14:paraId="36E9D195" w14:textId="77777777" w:rsidR="00AF64ED" w:rsidRPr="005F6A99" w:rsidRDefault="00AF64ED" w:rsidP="00AF64ED">
      <w:pPr>
        <w:spacing w:before="0" w:after="0"/>
        <w:rPr>
          <w:rFonts w:eastAsia="Calibri" w:cs="Times New Roman"/>
          <w:bCs/>
          <w:sz w:val="22"/>
          <w:szCs w:val="22"/>
        </w:rPr>
      </w:pPr>
      <w:r w:rsidRPr="005F6A99">
        <w:rPr>
          <w:rFonts w:eastAsia="Calibri" w:cs="Times New Roman"/>
          <w:bCs/>
          <w:sz w:val="22"/>
          <w:szCs w:val="22"/>
        </w:rPr>
        <w:t>No existen datos que informar en este rubro, en el periodo que se informa.</w:t>
      </w:r>
    </w:p>
    <w:p w14:paraId="235784B8" w14:textId="77777777" w:rsidR="00E7156D" w:rsidRPr="005F6A99" w:rsidRDefault="00E7156D" w:rsidP="00C33638">
      <w:pPr>
        <w:spacing w:before="0" w:after="0"/>
        <w:rPr>
          <w:rFonts w:eastAsia="Calibri" w:cs="Times New Roman"/>
          <w:b/>
          <w:sz w:val="22"/>
          <w:szCs w:val="22"/>
        </w:rPr>
      </w:pPr>
    </w:p>
    <w:p w14:paraId="2821E20D" w14:textId="30593D45" w:rsidR="00AF64ED" w:rsidRPr="005F6A99" w:rsidRDefault="00AF64ED" w:rsidP="00C33638">
      <w:pPr>
        <w:spacing w:before="0" w:after="0"/>
        <w:rPr>
          <w:rFonts w:eastAsia="Calibri" w:cs="Times New Roman"/>
          <w:b/>
          <w:sz w:val="22"/>
          <w:szCs w:val="22"/>
        </w:rPr>
      </w:pPr>
      <w:r w:rsidRPr="005F6A99">
        <w:rPr>
          <w:rFonts w:eastAsia="Calibri" w:cs="Times New Roman"/>
          <w:b/>
          <w:sz w:val="22"/>
          <w:szCs w:val="22"/>
        </w:rPr>
        <w:t>h) Planeación de activos</w:t>
      </w:r>
      <w:r w:rsidR="00F56B06" w:rsidRPr="005F6A99">
        <w:rPr>
          <w:rFonts w:eastAsia="Calibri" w:cs="Times New Roman"/>
          <w:b/>
          <w:sz w:val="22"/>
          <w:szCs w:val="22"/>
        </w:rPr>
        <w:t>.</w:t>
      </w:r>
    </w:p>
    <w:p w14:paraId="0BF11B70" w14:textId="77777777" w:rsidR="00AF64ED" w:rsidRPr="005F6A99" w:rsidRDefault="00AF64ED" w:rsidP="00AF64ED">
      <w:pPr>
        <w:spacing w:before="0" w:after="0"/>
        <w:rPr>
          <w:rFonts w:eastAsia="Calibri" w:cs="Times New Roman"/>
          <w:bCs/>
          <w:sz w:val="22"/>
          <w:szCs w:val="22"/>
        </w:rPr>
      </w:pPr>
      <w:r w:rsidRPr="005F6A99">
        <w:rPr>
          <w:rFonts w:eastAsia="Calibri" w:cs="Times New Roman"/>
          <w:bCs/>
          <w:sz w:val="22"/>
          <w:szCs w:val="22"/>
        </w:rPr>
        <w:t>No existen datos que informar en este rubro, en el periodo que se informa.</w:t>
      </w:r>
    </w:p>
    <w:p w14:paraId="51B0DDEC" w14:textId="7B3DC292" w:rsidR="00EF61E2" w:rsidRPr="005F6A99" w:rsidRDefault="00EF61E2" w:rsidP="00C33638">
      <w:pPr>
        <w:spacing w:before="0" w:after="0"/>
        <w:rPr>
          <w:rFonts w:eastAsia="Calibri" w:cs="Times New Roman"/>
          <w:b/>
          <w:sz w:val="22"/>
          <w:szCs w:val="22"/>
        </w:rPr>
      </w:pPr>
      <w:r w:rsidRPr="005F6A99">
        <w:rPr>
          <w:rFonts w:eastAsia="Calibri" w:cs="Times New Roman"/>
          <w:b/>
          <w:sz w:val="22"/>
          <w:szCs w:val="22"/>
        </w:rPr>
        <w:lastRenderedPageBreak/>
        <w:t>9. Fideicomisos, Mandatos y Análogos.</w:t>
      </w:r>
    </w:p>
    <w:p w14:paraId="5F78FF46" w14:textId="6623B042" w:rsidR="001A50BF" w:rsidRPr="005F6A99" w:rsidRDefault="00321041" w:rsidP="00C33638">
      <w:pPr>
        <w:spacing w:before="0" w:after="0"/>
        <w:rPr>
          <w:rFonts w:eastAsia="Calibri" w:cs="Times New Roman"/>
          <w:bCs/>
          <w:sz w:val="22"/>
          <w:szCs w:val="22"/>
        </w:rPr>
      </w:pPr>
      <w:r w:rsidRPr="005F6A99">
        <w:rPr>
          <w:rFonts w:eastAsia="Calibri" w:cs="Times New Roman"/>
          <w:bCs/>
          <w:sz w:val="22"/>
          <w:szCs w:val="22"/>
        </w:rPr>
        <w:t>El gobierno del Estado de Michoacán cuenta con Fideicomisos sectorizados a sus diferentes Dependencias, los cuales se muestran a continuación:</w:t>
      </w:r>
    </w:p>
    <w:p w14:paraId="022DB038" w14:textId="6CE68B77" w:rsidR="00321041" w:rsidRPr="005F6A99" w:rsidRDefault="00321041" w:rsidP="00C33638">
      <w:pPr>
        <w:spacing w:before="0" w:after="0"/>
        <w:rPr>
          <w:rFonts w:eastAsia="Calibri" w:cs="Times New Roman"/>
          <w:bCs/>
          <w:sz w:val="22"/>
          <w:szCs w:val="22"/>
        </w:rPr>
      </w:pPr>
      <w:r w:rsidRPr="005F6A99">
        <w:rPr>
          <w:rFonts w:eastAsia="Calibri" w:cs="Times New Roman"/>
          <w:bCs/>
          <w:noProof/>
          <w:sz w:val="22"/>
          <w:szCs w:val="22"/>
          <w:lang w:val="es-MX" w:eastAsia="es-MX"/>
        </w:rPr>
        <w:drawing>
          <wp:inline distT="0" distB="0" distL="0" distR="0" wp14:anchorId="2AFEE7DE" wp14:editId="2564F958">
            <wp:extent cx="6210300" cy="665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46526" cy="6694826"/>
                    </a:xfrm>
                    <a:prstGeom prst="rect">
                      <a:avLst/>
                    </a:prstGeom>
                  </pic:spPr>
                </pic:pic>
              </a:graphicData>
            </a:graphic>
          </wp:inline>
        </w:drawing>
      </w:r>
    </w:p>
    <w:p w14:paraId="63814B11" w14:textId="5DFBEB5A" w:rsidR="00321041" w:rsidRPr="005F6A99" w:rsidRDefault="00321041" w:rsidP="00C33638">
      <w:pPr>
        <w:spacing w:before="0" w:after="0"/>
        <w:rPr>
          <w:rFonts w:eastAsia="Calibri" w:cs="Times New Roman"/>
          <w:bCs/>
          <w:sz w:val="22"/>
          <w:szCs w:val="22"/>
        </w:rPr>
      </w:pPr>
      <w:r w:rsidRPr="005F6A99">
        <w:rPr>
          <w:rFonts w:eastAsia="Calibri" w:cs="Times New Roman"/>
          <w:bCs/>
          <w:noProof/>
          <w:sz w:val="22"/>
          <w:szCs w:val="22"/>
          <w:lang w:val="es-MX" w:eastAsia="es-MX"/>
        </w:rPr>
        <w:lastRenderedPageBreak/>
        <w:drawing>
          <wp:inline distT="0" distB="0" distL="0" distR="0" wp14:anchorId="2480C665" wp14:editId="6CA98356">
            <wp:extent cx="6210300" cy="8075930"/>
            <wp:effectExtent l="0" t="0" r="0" b="127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13626" cy="8080255"/>
                    </a:xfrm>
                    <a:prstGeom prst="rect">
                      <a:avLst/>
                    </a:prstGeom>
                  </pic:spPr>
                </pic:pic>
              </a:graphicData>
            </a:graphic>
          </wp:inline>
        </w:drawing>
      </w:r>
    </w:p>
    <w:p w14:paraId="74C79A59" w14:textId="3C07D61B" w:rsidR="001A50BF" w:rsidRPr="005F6A99" w:rsidRDefault="00321041" w:rsidP="00C33638">
      <w:pPr>
        <w:spacing w:before="0" w:after="0"/>
        <w:rPr>
          <w:rFonts w:eastAsia="Calibri" w:cs="Times New Roman"/>
          <w:bCs/>
          <w:sz w:val="22"/>
          <w:szCs w:val="22"/>
        </w:rPr>
      </w:pPr>
      <w:r w:rsidRPr="005F6A99">
        <w:rPr>
          <w:rFonts w:eastAsia="Calibri" w:cs="Times New Roman"/>
          <w:bCs/>
          <w:noProof/>
          <w:sz w:val="22"/>
          <w:szCs w:val="22"/>
          <w:lang w:val="es-MX" w:eastAsia="es-MX"/>
        </w:rPr>
        <w:lastRenderedPageBreak/>
        <w:drawing>
          <wp:inline distT="0" distB="0" distL="0" distR="0" wp14:anchorId="13AD957E" wp14:editId="054CB86D">
            <wp:extent cx="6305550" cy="5781675"/>
            <wp:effectExtent l="0" t="0" r="0"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5550" cy="5781675"/>
                    </a:xfrm>
                    <a:prstGeom prst="rect">
                      <a:avLst/>
                    </a:prstGeom>
                  </pic:spPr>
                </pic:pic>
              </a:graphicData>
            </a:graphic>
          </wp:inline>
        </w:drawing>
      </w:r>
    </w:p>
    <w:p w14:paraId="363BAF02" w14:textId="77777777" w:rsidR="00EF61E2" w:rsidRPr="005F6A99" w:rsidRDefault="00EF61E2" w:rsidP="00C33638">
      <w:pPr>
        <w:spacing w:before="0" w:after="0"/>
        <w:rPr>
          <w:rFonts w:eastAsia="Calibri" w:cs="Times New Roman"/>
          <w:b/>
          <w:sz w:val="22"/>
          <w:szCs w:val="22"/>
        </w:rPr>
      </w:pPr>
      <w:r w:rsidRPr="005F6A99">
        <w:rPr>
          <w:rFonts w:eastAsia="Calibri" w:cs="Times New Roman"/>
          <w:b/>
          <w:sz w:val="22"/>
          <w:szCs w:val="22"/>
        </w:rPr>
        <w:t>10. Reporte de la Recaudación</w:t>
      </w:r>
    </w:p>
    <w:p w14:paraId="169D185F" w14:textId="5E3F5BE9" w:rsidR="00EF61E2" w:rsidRPr="005F6A99" w:rsidRDefault="00EF61E2" w:rsidP="00C33638">
      <w:pPr>
        <w:spacing w:before="0" w:after="0"/>
        <w:rPr>
          <w:rFonts w:eastAsia="Calibri" w:cs="Times New Roman"/>
          <w:b/>
          <w:sz w:val="22"/>
          <w:szCs w:val="22"/>
        </w:rPr>
      </w:pPr>
    </w:p>
    <w:p w14:paraId="3FB5E910" w14:textId="0B09564A" w:rsidR="00EF61E2" w:rsidRPr="005F6A99" w:rsidRDefault="0052472F" w:rsidP="00C33638">
      <w:pPr>
        <w:spacing w:before="0" w:after="0"/>
        <w:rPr>
          <w:rFonts w:eastAsia="Calibri" w:cs="Times New Roman"/>
          <w:b/>
          <w:sz w:val="22"/>
          <w:szCs w:val="22"/>
        </w:rPr>
      </w:pPr>
      <w:r w:rsidRPr="005F6A99">
        <w:rPr>
          <w:rFonts w:eastAsia="Calibri" w:cs="Times New Roman"/>
          <w:b/>
          <w:sz w:val="22"/>
          <w:szCs w:val="22"/>
        </w:rPr>
        <w:t>a) Análisis del comportamiento de la recaudación.</w:t>
      </w:r>
    </w:p>
    <w:p w14:paraId="7DD7969A" w14:textId="77777777" w:rsidR="00E7156D" w:rsidRPr="005F6A99" w:rsidRDefault="00E7156D" w:rsidP="00C33638">
      <w:pPr>
        <w:spacing w:before="0" w:after="0"/>
        <w:rPr>
          <w:rFonts w:eastAsia="Calibri" w:cs="Times New Roman"/>
          <w:bCs/>
          <w:sz w:val="22"/>
          <w:szCs w:val="22"/>
        </w:rPr>
      </w:pPr>
    </w:p>
    <w:p w14:paraId="004013E7" w14:textId="6A90600C" w:rsidR="0052472F" w:rsidRPr="005F6A99" w:rsidRDefault="0052472F" w:rsidP="00C33638">
      <w:pPr>
        <w:spacing w:before="0" w:after="0"/>
        <w:rPr>
          <w:rFonts w:eastAsia="Calibri" w:cs="Times New Roman"/>
          <w:bCs/>
          <w:sz w:val="22"/>
          <w:szCs w:val="22"/>
        </w:rPr>
      </w:pPr>
      <w:r w:rsidRPr="005F6A99">
        <w:rPr>
          <w:rFonts w:eastAsia="Calibri" w:cs="Times New Roman"/>
          <w:bCs/>
          <w:sz w:val="22"/>
          <w:szCs w:val="22"/>
        </w:rPr>
        <w:t xml:space="preserve">Los ingresos recaudados, tanto locales como federales, se desglosan en el apartado </w:t>
      </w:r>
      <w:r w:rsidRPr="005F6A99">
        <w:rPr>
          <w:rFonts w:eastAsia="Calibri" w:cs="Times New Roman"/>
          <w:b/>
          <w:sz w:val="22"/>
          <w:szCs w:val="22"/>
        </w:rPr>
        <w:t>II.1 Análisis de los ingresos</w:t>
      </w:r>
      <w:r w:rsidR="00F56B06" w:rsidRPr="005F6A99">
        <w:rPr>
          <w:rFonts w:eastAsia="Calibri" w:cs="Times New Roman"/>
          <w:b/>
          <w:sz w:val="22"/>
          <w:szCs w:val="22"/>
        </w:rPr>
        <w:t>.</w:t>
      </w:r>
    </w:p>
    <w:p w14:paraId="36421572" w14:textId="77777777" w:rsidR="00E7156D" w:rsidRPr="005F6A99" w:rsidRDefault="00E7156D" w:rsidP="00C33638">
      <w:pPr>
        <w:spacing w:before="0" w:after="0"/>
        <w:rPr>
          <w:rFonts w:eastAsia="Calibri" w:cs="Times New Roman"/>
          <w:b/>
          <w:sz w:val="22"/>
          <w:szCs w:val="22"/>
        </w:rPr>
      </w:pPr>
    </w:p>
    <w:p w14:paraId="18265F58" w14:textId="52B9A029" w:rsidR="00EF61E2" w:rsidRPr="005F6A99" w:rsidRDefault="0052472F" w:rsidP="00C33638">
      <w:pPr>
        <w:spacing w:before="0" w:after="0"/>
        <w:rPr>
          <w:rFonts w:eastAsia="Calibri" w:cs="Times New Roman"/>
          <w:b/>
          <w:sz w:val="22"/>
          <w:szCs w:val="22"/>
        </w:rPr>
      </w:pPr>
      <w:r w:rsidRPr="005F6A99">
        <w:rPr>
          <w:rFonts w:eastAsia="Calibri" w:cs="Times New Roman"/>
          <w:b/>
          <w:sz w:val="22"/>
          <w:szCs w:val="22"/>
        </w:rPr>
        <w:lastRenderedPageBreak/>
        <w:t>b) Proyección de la Recaudación a mediano plazo.</w:t>
      </w:r>
    </w:p>
    <w:p w14:paraId="5FF6428A" w14:textId="54D59F26" w:rsidR="0052472F" w:rsidRPr="005F6A99" w:rsidRDefault="0052472F" w:rsidP="00C33638">
      <w:pPr>
        <w:spacing w:before="0" w:after="0"/>
        <w:rPr>
          <w:rFonts w:eastAsia="Calibri" w:cs="Times New Roman"/>
          <w:bCs/>
          <w:sz w:val="22"/>
          <w:szCs w:val="22"/>
        </w:rPr>
      </w:pPr>
      <w:r w:rsidRPr="005F6A99">
        <w:rPr>
          <w:rFonts w:eastAsia="Calibri" w:cs="Times New Roman"/>
          <w:bCs/>
          <w:sz w:val="22"/>
          <w:szCs w:val="22"/>
        </w:rPr>
        <w:t>El Gobierno del Estado de Michoacán tiene proyectada la recaudación en los siguientes 5 ejercicios como se muestra a continuación:</w:t>
      </w:r>
    </w:p>
    <w:p w14:paraId="2247529E" w14:textId="5A5D6D4F" w:rsidR="0052472F" w:rsidRPr="005F6A99" w:rsidRDefault="004164B0" w:rsidP="00C33638">
      <w:pPr>
        <w:spacing w:before="0" w:after="0"/>
        <w:rPr>
          <w:rFonts w:eastAsia="Calibri" w:cs="Times New Roman"/>
          <w:bCs/>
          <w:sz w:val="22"/>
          <w:szCs w:val="22"/>
        </w:rPr>
      </w:pPr>
      <w:r w:rsidRPr="005F6A99">
        <w:rPr>
          <w:noProof/>
          <w:lang w:val="es-MX" w:eastAsia="es-MX"/>
        </w:rPr>
        <w:drawing>
          <wp:inline distT="0" distB="0" distL="0" distR="0" wp14:anchorId="7E16A941" wp14:editId="22159EA4">
            <wp:extent cx="6543675" cy="54368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46401" cy="5439135"/>
                    </a:xfrm>
                    <a:prstGeom prst="rect">
                      <a:avLst/>
                    </a:prstGeom>
                    <a:noFill/>
                    <a:ln>
                      <a:noFill/>
                    </a:ln>
                  </pic:spPr>
                </pic:pic>
              </a:graphicData>
            </a:graphic>
          </wp:inline>
        </w:drawing>
      </w:r>
    </w:p>
    <w:p w14:paraId="3F215C3D" w14:textId="3273BD3D" w:rsidR="0052472F" w:rsidRPr="005F6A99" w:rsidRDefault="0052472F" w:rsidP="0052472F">
      <w:pPr>
        <w:spacing w:before="0" w:after="0"/>
        <w:rPr>
          <w:rFonts w:eastAsia="Calibri" w:cs="Times New Roman"/>
          <w:bCs/>
          <w:sz w:val="22"/>
          <w:szCs w:val="22"/>
        </w:rPr>
      </w:pPr>
      <w:r w:rsidRPr="005F6A99">
        <w:rPr>
          <w:rFonts w:eastAsia="Calibri" w:cs="Times New Roman"/>
          <w:bCs/>
          <w:sz w:val="22"/>
          <w:szCs w:val="22"/>
        </w:rPr>
        <w:t xml:space="preserve">Para realizar el pronóstico de los impuestos a recaudar en el período 2023-2028 se implementó un análisis econométrico de </w:t>
      </w:r>
      <w:proofErr w:type="spellStart"/>
      <w:r w:rsidRPr="005F6A99">
        <w:rPr>
          <w:rFonts w:eastAsia="Calibri" w:cs="Times New Roman"/>
          <w:bCs/>
          <w:sz w:val="22"/>
          <w:szCs w:val="22"/>
        </w:rPr>
        <w:t>suavizamiento</w:t>
      </w:r>
      <w:proofErr w:type="spellEnd"/>
      <w:r w:rsidRPr="005F6A99">
        <w:rPr>
          <w:rFonts w:eastAsia="Calibri" w:cs="Times New Roman"/>
          <w:bCs/>
          <w:sz w:val="22"/>
          <w:szCs w:val="22"/>
        </w:rPr>
        <w:t xml:space="preserve"> exponencial multiplicativo, utilizando los datos de recaudación en una serie de tiempo mensual de julio de 2018 a agosto del 2022, a partir de los cuales el modelo proyecta la cantidad a recaudar por cada mes correspondiente de cada año del período, en función del comportamiento histórico del período. Adicionalmente se </w:t>
      </w:r>
      <w:r w:rsidRPr="005F6A99">
        <w:rPr>
          <w:rFonts w:eastAsia="Calibri" w:cs="Times New Roman"/>
          <w:bCs/>
          <w:sz w:val="22"/>
          <w:szCs w:val="22"/>
        </w:rPr>
        <w:lastRenderedPageBreak/>
        <w:t xml:space="preserve">consideran otras variables que tienen incidencia específica en la proyección de cada uno de los impuestos estatales: </w:t>
      </w:r>
    </w:p>
    <w:p w14:paraId="73F4F9DA" w14:textId="4D75E6BA" w:rsidR="0052472F" w:rsidRPr="005F6A99" w:rsidRDefault="0052472F" w:rsidP="0052472F">
      <w:pPr>
        <w:spacing w:before="0" w:after="0"/>
        <w:rPr>
          <w:rFonts w:eastAsia="Calibri" w:cs="Times New Roman"/>
          <w:bCs/>
          <w:sz w:val="22"/>
          <w:szCs w:val="22"/>
        </w:rPr>
      </w:pPr>
      <w:r w:rsidRPr="005F6A99">
        <w:rPr>
          <w:rFonts w:eastAsia="Calibri" w:cs="Times New Roman"/>
          <w:b/>
          <w:sz w:val="22"/>
          <w:szCs w:val="22"/>
        </w:rPr>
        <w:t>a.</w:t>
      </w:r>
      <w:r w:rsidRPr="005F6A99">
        <w:rPr>
          <w:rFonts w:eastAsia="Calibri" w:cs="Times New Roman"/>
          <w:bCs/>
          <w:sz w:val="22"/>
          <w:szCs w:val="22"/>
        </w:rPr>
        <w:t xml:space="preserve"> Composición del Padrón de Contribuyentes, en donde la recaudación del sector público federal, estatal y municipal, para el caso del Impuesto sobre Nómina tiene un comportamiento distinto a la del sector privado.</w:t>
      </w:r>
    </w:p>
    <w:p w14:paraId="18221563" w14:textId="77777777" w:rsidR="0052472F" w:rsidRPr="005F6A99" w:rsidRDefault="0052472F" w:rsidP="0052472F">
      <w:pPr>
        <w:spacing w:before="0" w:after="0"/>
        <w:rPr>
          <w:rFonts w:eastAsia="Calibri" w:cs="Times New Roman"/>
          <w:bCs/>
          <w:sz w:val="22"/>
          <w:szCs w:val="22"/>
        </w:rPr>
      </w:pPr>
      <w:r w:rsidRPr="005F6A99">
        <w:rPr>
          <w:rFonts w:eastAsia="Calibri" w:cs="Times New Roman"/>
          <w:b/>
          <w:sz w:val="22"/>
          <w:szCs w:val="22"/>
        </w:rPr>
        <w:t>b.</w:t>
      </w:r>
      <w:r w:rsidRPr="005F6A99">
        <w:rPr>
          <w:rFonts w:eastAsia="Calibri" w:cs="Times New Roman"/>
          <w:bCs/>
          <w:sz w:val="22"/>
          <w:szCs w:val="22"/>
        </w:rPr>
        <w:t xml:space="preserve"> Valuación de estrategias para recuperación de adeudos de contribuyentes del sector privado.</w:t>
      </w:r>
    </w:p>
    <w:p w14:paraId="6E9B2DBC" w14:textId="77777777" w:rsidR="0052472F" w:rsidRPr="005F6A99" w:rsidRDefault="0052472F" w:rsidP="0052472F">
      <w:pPr>
        <w:spacing w:before="0" w:after="0"/>
        <w:rPr>
          <w:rFonts w:eastAsia="Calibri" w:cs="Times New Roman"/>
          <w:bCs/>
          <w:sz w:val="22"/>
          <w:szCs w:val="22"/>
        </w:rPr>
      </w:pPr>
      <w:r w:rsidRPr="005F6A99">
        <w:rPr>
          <w:rFonts w:eastAsia="Calibri" w:cs="Times New Roman"/>
          <w:b/>
          <w:sz w:val="22"/>
          <w:szCs w:val="22"/>
        </w:rPr>
        <w:t>c.</w:t>
      </w:r>
      <w:r w:rsidRPr="005F6A99">
        <w:rPr>
          <w:rFonts w:eastAsia="Calibri" w:cs="Times New Roman"/>
          <w:bCs/>
          <w:sz w:val="22"/>
          <w:szCs w:val="22"/>
        </w:rPr>
        <w:t xml:space="preserve"> Valuación de estrategias de incorporación al padrón.</w:t>
      </w:r>
    </w:p>
    <w:p w14:paraId="52367D08" w14:textId="1D2FA7D3" w:rsidR="0052472F" w:rsidRPr="005F6A99" w:rsidRDefault="0052472F" w:rsidP="0052472F">
      <w:pPr>
        <w:spacing w:before="0" w:after="0"/>
        <w:rPr>
          <w:rFonts w:eastAsia="Calibri" w:cs="Times New Roman"/>
          <w:bCs/>
          <w:sz w:val="22"/>
          <w:szCs w:val="22"/>
        </w:rPr>
      </w:pPr>
      <w:r w:rsidRPr="005F6A99">
        <w:rPr>
          <w:rFonts w:eastAsia="Calibri" w:cs="Times New Roman"/>
          <w:b/>
          <w:sz w:val="22"/>
          <w:szCs w:val="22"/>
        </w:rPr>
        <w:t>d.</w:t>
      </w:r>
      <w:r w:rsidRPr="005F6A99">
        <w:rPr>
          <w:rFonts w:eastAsia="Calibri" w:cs="Times New Roman"/>
          <w:bCs/>
          <w:sz w:val="22"/>
          <w:szCs w:val="22"/>
        </w:rPr>
        <w:t xml:space="preserve"> Ponderación del indicador de la actividad económica estatal, en la perspectiva de la creación de empresas y puestos de trabajo en Michoacán y que determinen la incorporación al padrón estatal.</w:t>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p>
    <w:p w14:paraId="10A3E079" w14:textId="3E5907D9" w:rsidR="0052472F" w:rsidRPr="005F6A99" w:rsidRDefault="0052472F" w:rsidP="0052472F">
      <w:pPr>
        <w:spacing w:before="0" w:after="0"/>
        <w:rPr>
          <w:rFonts w:eastAsia="Calibri" w:cs="Times New Roman"/>
          <w:bCs/>
          <w:sz w:val="22"/>
          <w:szCs w:val="22"/>
        </w:rPr>
      </w:pP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r w:rsidRPr="005F6A99">
        <w:rPr>
          <w:rFonts w:eastAsia="Calibri" w:cs="Times New Roman"/>
          <w:bCs/>
          <w:sz w:val="22"/>
          <w:szCs w:val="22"/>
        </w:rPr>
        <w:tab/>
      </w:r>
    </w:p>
    <w:p w14:paraId="3653F85F" w14:textId="77777777" w:rsidR="0052472F" w:rsidRPr="005F6A99" w:rsidRDefault="0052472F" w:rsidP="0052472F">
      <w:pPr>
        <w:spacing w:before="0" w:after="0"/>
        <w:rPr>
          <w:rFonts w:eastAsia="Calibri" w:cs="Times New Roman"/>
          <w:bCs/>
          <w:sz w:val="22"/>
          <w:szCs w:val="22"/>
        </w:rPr>
      </w:pPr>
      <w:r w:rsidRPr="005F6A99">
        <w:rPr>
          <w:rFonts w:eastAsia="Calibri" w:cs="Times New Roman"/>
          <w:bCs/>
          <w:sz w:val="22"/>
          <w:szCs w:val="22"/>
        </w:rPr>
        <w:t>La proyección de Derechos se realizó con base al número de trámites anuales, multiplicados por la tarifa correspondiente proyectada, considerando la inflación contenida en el marco macroeconómico 2022-2028 (Anexo III de los Criterios Generales de Política Económica 2023).</w:t>
      </w:r>
      <w:r w:rsidRPr="005F6A99">
        <w:t xml:space="preserve"> </w:t>
      </w:r>
      <w:r w:rsidRPr="005F6A99">
        <w:rPr>
          <w:rFonts w:eastAsia="Calibri" w:cs="Times New Roman"/>
          <w:bCs/>
          <w:sz w:val="22"/>
          <w:szCs w:val="22"/>
        </w:rPr>
        <w:t>La proyección de Productos, Aprovechamientos e Ingresos por Venta de Bienes se realiza con base en la tasa de crecimiento anual observada desde el ejercicio 2016-2022 y una estimación de esfuerzo recaudatorio promedio de 10% anual</w:t>
      </w:r>
    </w:p>
    <w:p w14:paraId="03938585" w14:textId="77777777" w:rsidR="0052472F" w:rsidRPr="005F6A99" w:rsidRDefault="0052472F" w:rsidP="0052472F">
      <w:pPr>
        <w:spacing w:before="0" w:after="0"/>
        <w:rPr>
          <w:rFonts w:eastAsia="Calibri" w:cs="Times New Roman"/>
          <w:bCs/>
          <w:sz w:val="22"/>
          <w:szCs w:val="22"/>
        </w:rPr>
      </w:pPr>
    </w:p>
    <w:p w14:paraId="26C529AC" w14:textId="209EB507" w:rsidR="0052472F" w:rsidRPr="005F6A99" w:rsidRDefault="0052472F" w:rsidP="0052472F">
      <w:pPr>
        <w:spacing w:before="0" w:after="0"/>
        <w:rPr>
          <w:rFonts w:eastAsia="Calibri" w:cs="Times New Roman"/>
          <w:bCs/>
          <w:sz w:val="22"/>
          <w:szCs w:val="22"/>
        </w:rPr>
      </w:pPr>
      <w:r w:rsidRPr="005F6A99">
        <w:rPr>
          <w:rFonts w:eastAsia="Calibri" w:cs="Times New Roman"/>
          <w:bCs/>
          <w:sz w:val="22"/>
          <w:szCs w:val="22"/>
        </w:rPr>
        <w:t>Los ingresos propios observan un crecimiento promedio anual de 10% en el período, atendiendo a la meta establecida por el Plan Integral de Desarrollo del Estado de Michoacán 2021-2027.</w:t>
      </w:r>
    </w:p>
    <w:p w14:paraId="0A06EA0A" w14:textId="51B92FDD" w:rsidR="0052472F" w:rsidRPr="005F6A99" w:rsidRDefault="0052472F" w:rsidP="0052472F">
      <w:pPr>
        <w:spacing w:before="0" w:after="0"/>
        <w:rPr>
          <w:rFonts w:eastAsia="Calibri" w:cs="Times New Roman"/>
          <w:bCs/>
          <w:sz w:val="22"/>
          <w:szCs w:val="22"/>
        </w:rPr>
      </w:pPr>
      <w:r w:rsidRPr="005F6A99">
        <w:rPr>
          <w:rFonts w:eastAsia="Calibri" w:cs="Times New Roman"/>
          <w:bCs/>
          <w:sz w:val="22"/>
          <w:szCs w:val="22"/>
        </w:rPr>
        <w:t xml:space="preserve">La estimación de Participaciones toma como base la información de los Requerimientos Financieros del Sector Público 2022-2028 de los Criterios Generales de Política Económica 2023, en donde se establece un escenario en el que, dentro del Gasto no Programable, las </w:t>
      </w:r>
      <w:r w:rsidRPr="005F6A99">
        <w:rPr>
          <w:rFonts w:eastAsia="Calibri" w:cs="Times New Roman"/>
          <w:bCs/>
          <w:sz w:val="22"/>
          <w:szCs w:val="22"/>
        </w:rPr>
        <w:lastRenderedPageBreak/>
        <w:t>Participaciones representan el 3.9% del Producto Interno Bruto. A partir de la distribución histórica por entidad de estos recursos, se identificó la proyección 2024-2028 para Michoacán.</w:t>
      </w:r>
    </w:p>
    <w:p w14:paraId="56CD64BE" w14:textId="77777777" w:rsidR="0052472F" w:rsidRPr="005F6A99" w:rsidRDefault="0052472F" w:rsidP="0052472F">
      <w:pPr>
        <w:spacing w:before="0" w:after="0"/>
        <w:rPr>
          <w:rFonts w:eastAsia="Calibri" w:cs="Times New Roman"/>
          <w:bCs/>
          <w:sz w:val="22"/>
          <w:szCs w:val="22"/>
        </w:rPr>
      </w:pPr>
    </w:p>
    <w:p w14:paraId="486E0701" w14:textId="5007D042" w:rsidR="0052472F" w:rsidRPr="005F6A99" w:rsidRDefault="0052472F" w:rsidP="0052472F">
      <w:pPr>
        <w:spacing w:before="0" w:after="0"/>
        <w:rPr>
          <w:rFonts w:eastAsia="Calibri" w:cs="Times New Roman"/>
          <w:bCs/>
          <w:sz w:val="22"/>
          <w:szCs w:val="22"/>
        </w:rPr>
      </w:pPr>
      <w:r w:rsidRPr="005F6A99">
        <w:rPr>
          <w:rFonts w:eastAsia="Calibri" w:cs="Times New Roman"/>
          <w:bCs/>
          <w:sz w:val="22"/>
          <w:szCs w:val="22"/>
        </w:rPr>
        <w:t>La estimación de Aportaciones, Convenios e Incentivos derivados de la Colaboración Fiscal se realizó con base en la tasa de crecimiento anual observada en el período 2016-2022</w:t>
      </w:r>
    </w:p>
    <w:p w14:paraId="7652B6E5" w14:textId="74DC6E05" w:rsidR="00EF61E2" w:rsidRPr="005F6A99" w:rsidRDefault="0052472F" w:rsidP="0052472F">
      <w:pPr>
        <w:spacing w:before="0" w:after="0"/>
        <w:rPr>
          <w:rFonts w:eastAsia="Calibri" w:cs="Times New Roman"/>
          <w:b/>
          <w:sz w:val="22"/>
          <w:szCs w:val="22"/>
        </w:rPr>
      </w:pPr>
      <w:r w:rsidRPr="005F6A99">
        <w:rPr>
          <w:rFonts w:eastAsia="Calibri" w:cs="Times New Roman"/>
          <w:b/>
          <w:sz w:val="22"/>
          <w:szCs w:val="22"/>
        </w:rPr>
        <w:tab/>
      </w:r>
      <w:r w:rsidRPr="005F6A99">
        <w:rPr>
          <w:rFonts w:eastAsia="Calibri" w:cs="Times New Roman"/>
          <w:b/>
          <w:sz w:val="22"/>
          <w:szCs w:val="22"/>
        </w:rPr>
        <w:tab/>
      </w:r>
      <w:r w:rsidRPr="005F6A99">
        <w:rPr>
          <w:rFonts w:eastAsia="Calibri" w:cs="Times New Roman"/>
          <w:b/>
          <w:sz w:val="22"/>
          <w:szCs w:val="22"/>
        </w:rPr>
        <w:tab/>
      </w:r>
      <w:r w:rsidRPr="005F6A99">
        <w:rPr>
          <w:rFonts w:eastAsia="Calibri" w:cs="Times New Roman"/>
          <w:b/>
          <w:sz w:val="22"/>
          <w:szCs w:val="22"/>
        </w:rPr>
        <w:tab/>
      </w:r>
      <w:r w:rsidRPr="005F6A99">
        <w:rPr>
          <w:rFonts w:eastAsia="Calibri" w:cs="Times New Roman"/>
          <w:b/>
          <w:sz w:val="22"/>
          <w:szCs w:val="22"/>
        </w:rPr>
        <w:tab/>
      </w:r>
      <w:r w:rsidRPr="005F6A99">
        <w:rPr>
          <w:rFonts w:eastAsia="Calibri" w:cs="Times New Roman"/>
          <w:b/>
          <w:sz w:val="22"/>
          <w:szCs w:val="22"/>
        </w:rPr>
        <w:tab/>
      </w:r>
      <w:r w:rsidRPr="005F6A99">
        <w:rPr>
          <w:rFonts w:eastAsia="Calibri" w:cs="Times New Roman"/>
          <w:b/>
          <w:sz w:val="22"/>
          <w:szCs w:val="22"/>
        </w:rPr>
        <w:tab/>
      </w:r>
    </w:p>
    <w:p w14:paraId="27563AAC" w14:textId="3FC1A059" w:rsidR="003628D8" w:rsidRPr="005F6A99" w:rsidRDefault="003628D8" w:rsidP="00C33638">
      <w:pPr>
        <w:spacing w:before="0" w:after="0"/>
        <w:rPr>
          <w:rFonts w:eastAsia="Calibri" w:cs="Times New Roman"/>
          <w:b/>
          <w:sz w:val="22"/>
          <w:szCs w:val="22"/>
        </w:rPr>
      </w:pPr>
      <w:r w:rsidRPr="005F6A99">
        <w:rPr>
          <w:rFonts w:eastAsia="Calibri" w:cs="Times New Roman"/>
          <w:b/>
          <w:sz w:val="22"/>
          <w:szCs w:val="22"/>
        </w:rPr>
        <w:t>11. Información sobre la Deuda y el Reporte analítico de la deuda</w:t>
      </w:r>
      <w:r w:rsidR="00F56B06" w:rsidRPr="005F6A99">
        <w:rPr>
          <w:rFonts w:eastAsia="Calibri" w:cs="Times New Roman"/>
          <w:b/>
          <w:sz w:val="22"/>
          <w:szCs w:val="22"/>
        </w:rPr>
        <w:t>.</w:t>
      </w:r>
    </w:p>
    <w:p w14:paraId="29776F2E" w14:textId="77777777" w:rsidR="00D71AA9" w:rsidRPr="005F6A99" w:rsidRDefault="00D71AA9" w:rsidP="00C33638">
      <w:pPr>
        <w:spacing w:before="0" w:after="0"/>
        <w:rPr>
          <w:rFonts w:eastAsia="Calibri" w:cs="Times New Roman"/>
          <w:b/>
          <w:sz w:val="22"/>
          <w:szCs w:val="22"/>
        </w:rPr>
      </w:pPr>
    </w:p>
    <w:p w14:paraId="7904F823" w14:textId="4C9FCC8F" w:rsidR="003628D8" w:rsidRPr="005F6A99" w:rsidRDefault="003628D8" w:rsidP="00C33638">
      <w:pPr>
        <w:spacing w:before="0" w:after="0"/>
        <w:rPr>
          <w:rFonts w:eastAsia="Calibri" w:cs="Times New Roman"/>
          <w:b/>
          <w:sz w:val="22"/>
          <w:szCs w:val="22"/>
        </w:rPr>
      </w:pPr>
      <w:r w:rsidRPr="005F6A99">
        <w:rPr>
          <w:rFonts w:eastAsia="Calibri" w:cs="Times New Roman"/>
          <w:b/>
          <w:sz w:val="22"/>
          <w:szCs w:val="22"/>
        </w:rPr>
        <w:t>a) Utilizar al menos los siguientes indicadores: deuda respecto al PIB y Deuda respecto a la recaudación tomando, como mínimo, un periodo igual o menor de 5 años.</w:t>
      </w:r>
    </w:p>
    <w:p w14:paraId="7098300A" w14:textId="77777777" w:rsidR="00E7156D" w:rsidRPr="005F6A99" w:rsidRDefault="00E7156D" w:rsidP="00C33638">
      <w:pPr>
        <w:spacing w:before="0" w:after="0"/>
        <w:rPr>
          <w:rFonts w:eastAsia="Calibri" w:cs="Times New Roman"/>
          <w:bCs/>
          <w:sz w:val="22"/>
          <w:szCs w:val="22"/>
        </w:rPr>
      </w:pPr>
    </w:p>
    <w:p w14:paraId="72CC3A02" w14:textId="44DF095D" w:rsidR="00D71AA9" w:rsidRPr="005F6A99" w:rsidRDefault="00D71AA9" w:rsidP="00C33638">
      <w:pPr>
        <w:spacing w:before="0" w:after="0"/>
        <w:rPr>
          <w:rFonts w:eastAsia="Calibri" w:cs="Times New Roman"/>
          <w:bCs/>
          <w:sz w:val="22"/>
          <w:szCs w:val="22"/>
        </w:rPr>
      </w:pPr>
      <w:r w:rsidRPr="005F6A99">
        <w:rPr>
          <w:rFonts w:eastAsia="Calibri" w:cs="Times New Roman"/>
          <w:bCs/>
          <w:sz w:val="22"/>
          <w:szCs w:val="22"/>
        </w:rPr>
        <w:t>La deuda pública del Estado de Michoacán, al 30 de septiembre de 2022 representa un 2.91% del total de PIB estimado para esta entidad federativa, lo que demuestra una disminución gradual que se ha venido observando desde el ejercicio fiscal 2016, como se muestra en las gráficas siguientes:</w:t>
      </w:r>
    </w:p>
    <w:p w14:paraId="17B6D183" w14:textId="77777777" w:rsidR="00D71AA9" w:rsidRPr="005F6A99" w:rsidRDefault="00D71AA9" w:rsidP="00C33638">
      <w:pPr>
        <w:spacing w:before="0" w:after="0"/>
        <w:rPr>
          <w:rFonts w:eastAsia="Calibri" w:cs="Times New Roman"/>
          <w:b/>
          <w:sz w:val="22"/>
          <w:szCs w:val="22"/>
        </w:rPr>
      </w:pPr>
    </w:p>
    <w:p w14:paraId="02870CF0" w14:textId="3D65D788" w:rsidR="003628D8" w:rsidRPr="005F6A99" w:rsidRDefault="00D71AA9" w:rsidP="00C33638">
      <w:pPr>
        <w:spacing w:before="0" w:after="0"/>
        <w:rPr>
          <w:rFonts w:eastAsia="Calibri" w:cs="Times New Roman"/>
          <w:b/>
          <w:sz w:val="22"/>
          <w:szCs w:val="22"/>
        </w:rPr>
      </w:pPr>
      <w:r w:rsidRPr="005F6A99">
        <w:rPr>
          <w:noProof/>
          <w:lang w:val="es-MX" w:eastAsia="es-MX"/>
        </w:rPr>
        <w:drawing>
          <wp:inline distT="0" distB="0" distL="0" distR="0" wp14:anchorId="0E6A3B72" wp14:editId="47AD6C8F">
            <wp:extent cx="6351270" cy="2025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270" cy="2025650"/>
                    </a:xfrm>
                    <a:prstGeom prst="rect">
                      <a:avLst/>
                    </a:prstGeom>
                    <a:noFill/>
                    <a:ln>
                      <a:noFill/>
                    </a:ln>
                  </pic:spPr>
                </pic:pic>
              </a:graphicData>
            </a:graphic>
          </wp:inline>
        </w:drawing>
      </w:r>
      <w:r w:rsidR="003628D8" w:rsidRPr="005F6A99">
        <w:rPr>
          <w:rFonts w:eastAsia="Calibri" w:cs="Times New Roman"/>
          <w:b/>
          <w:sz w:val="22"/>
          <w:szCs w:val="22"/>
        </w:rPr>
        <w:t xml:space="preserve"> </w:t>
      </w:r>
    </w:p>
    <w:p w14:paraId="68C2E7DB" w14:textId="12845489" w:rsidR="00D71AA9" w:rsidRPr="005F6A99" w:rsidRDefault="00D71AA9" w:rsidP="00C33638">
      <w:pPr>
        <w:spacing w:before="0" w:after="0"/>
        <w:rPr>
          <w:rFonts w:eastAsia="Calibri" w:cs="Times New Roman"/>
          <w:b/>
          <w:sz w:val="22"/>
          <w:szCs w:val="22"/>
        </w:rPr>
      </w:pPr>
      <w:r w:rsidRPr="005F6A99">
        <w:rPr>
          <w:rFonts w:eastAsia="Calibri" w:cs="Times New Roman"/>
          <w:b/>
          <w:noProof/>
          <w:sz w:val="22"/>
          <w:szCs w:val="22"/>
          <w:lang w:val="es-MX" w:eastAsia="es-MX"/>
        </w:rPr>
        <w:lastRenderedPageBreak/>
        <w:drawing>
          <wp:inline distT="0" distB="0" distL="0" distR="0" wp14:anchorId="1C64E29D" wp14:editId="567A42F3">
            <wp:extent cx="4926743" cy="2830627"/>
            <wp:effectExtent l="0" t="0" r="762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7047" cy="2842293"/>
                    </a:xfrm>
                    <a:prstGeom prst="rect">
                      <a:avLst/>
                    </a:prstGeom>
                    <a:noFill/>
                  </pic:spPr>
                </pic:pic>
              </a:graphicData>
            </a:graphic>
          </wp:inline>
        </w:drawing>
      </w:r>
    </w:p>
    <w:p w14:paraId="5CB567BB" w14:textId="629854DD" w:rsidR="00D71AA9" w:rsidRPr="005F6A99" w:rsidRDefault="00D71AA9" w:rsidP="00C33638">
      <w:pPr>
        <w:spacing w:before="0" w:after="0"/>
        <w:rPr>
          <w:rFonts w:eastAsia="Calibri" w:cs="Times New Roman"/>
          <w:bCs/>
          <w:sz w:val="22"/>
          <w:szCs w:val="22"/>
        </w:rPr>
      </w:pPr>
      <w:r w:rsidRPr="005F6A99">
        <w:rPr>
          <w:rFonts w:eastAsia="Calibri" w:cs="Times New Roman"/>
          <w:bCs/>
          <w:sz w:val="22"/>
          <w:szCs w:val="22"/>
        </w:rPr>
        <w:t xml:space="preserve">En el mismo sentido, el saldo de la Deuda pública, ya mencionado, respecto a la recaudación de ingresos de libre disposición, representa un 56.36%, el </w:t>
      </w:r>
      <w:r w:rsidR="00F56B06" w:rsidRPr="005F6A99">
        <w:rPr>
          <w:rFonts w:eastAsia="Calibri" w:cs="Times New Roman"/>
          <w:bCs/>
          <w:sz w:val="22"/>
          <w:szCs w:val="22"/>
        </w:rPr>
        <w:t>cual</w:t>
      </w:r>
      <w:r w:rsidRPr="005F6A99">
        <w:rPr>
          <w:rFonts w:eastAsia="Calibri" w:cs="Times New Roman"/>
          <w:bCs/>
          <w:sz w:val="22"/>
          <w:szCs w:val="22"/>
        </w:rPr>
        <w:t xml:space="preserve"> se encuentra dentro de los parámetros establecidos por la Ley de Disciplina Financiera.</w:t>
      </w:r>
    </w:p>
    <w:p w14:paraId="366134FC" w14:textId="4A3A7120" w:rsidR="00D71AA9" w:rsidRPr="005F6A99" w:rsidRDefault="00D71AA9" w:rsidP="00C33638">
      <w:pPr>
        <w:spacing w:before="0" w:after="0"/>
        <w:rPr>
          <w:rFonts w:eastAsia="Calibri" w:cs="Times New Roman"/>
          <w:bCs/>
          <w:sz w:val="22"/>
          <w:szCs w:val="22"/>
        </w:rPr>
      </w:pPr>
    </w:p>
    <w:p w14:paraId="3F12C0B3" w14:textId="50D632B9" w:rsidR="00D71AA9" w:rsidRPr="005F6A99" w:rsidRDefault="00D71AA9" w:rsidP="00C33638">
      <w:pPr>
        <w:spacing w:before="0" w:after="0"/>
        <w:rPr>
          <w:rFonts w:eastAsia="Calibri" w:cs="Times New Roman"/>
          <w:bCs/>
          <w:sz w:val="22"/>
          <w:szCs w:val="22"/>
        </w:rPr>
      </w:pPr>
      <w:r w:rsidRPr="005F6A99">
        <w:rPr>
          <w:rFonts w:eastAsia="Calibri" w:cs="Times New Roman"/>
          <w:bCs/>
          <w:sz w:val="22"/>
          <w:szCs w:val="22"/>
        </w:rPr>
        <w:t>Es de destacar que también en este indicador, podemos observar u</w:t>
      </w:r>
      <w:r w:rsidR="00A13CDA" w:rsidRPr="005F6A99">
        <w:rPr>
          <w:rFonts w:eastAsia="Calibri" w:cs="Times New Roman"/>
          <w:bCs/>
          <w:sz w:val="22"/>
          <w:szCs w:val="22"/>
        </w:rPr>
        <w:t>n</w:t>
      </w:r>
      <w:r w:rsidRPr="005F6A99">
        <w:rPr>
          <w:rFonts w:eastAsia="Calibri" w:cs="Times New Roman"/>
          <w:bCs/>
          <w:sz w:val="22"/>
          <w:szCs w:val="22"/>
        </w:rPr>
        <w:t>a tendencia a la baja</w:t>
      </w:r>
      <w:r w:rsidR="00A13CDA" w:rsidRPr="005F6A99">
        <w:rPr>
          <w:rFonts w:eastAsia="Calibri" w:cs="Times New Roman"/>
          <w:bCs/>
          <w:sz w:val="22"/>
          <w:szCs w:val="22"/>
        </w:rPr>
        <w:t>, desde el ejercicio fiscal 2016, como se muestra en las gráficas siguientes:</w:t>
      </w:r>
    </w:p>
    <w:p w14:paraId="3E0E041F" w14:textId="77777777" w:rsidR="00D71AA9" w:rsidRPr="005F6A99" w:rsidRDefault="00D71AA9" w:rsidP="00C33638">
      <w:pPr>
        <w:spacing w:before="0" w:after="0"/>
        <w:rPr>
          <w:rFonts w:eastAsia="Calibri" w:cs="Times New Roman"/>
          <w:b/>
          <w:sz w:val="22"/>
          <w:szCs w:val="22"/>
        </w:rPr>
      </w:pPr>
    </w:p>
    <w:p w14:paraId="2ABEFF88" w14:textId="073CAEE4" w:rsidR="00D71AA9" w:rsidRPr="005F6A99" w:rsidRDefault="00D71AA9" w:rsidP="00C33638">
      <w:pPr>
        <w:spacing w:before="0" w:after="0"/>
        <w:rPr>
          <w:rFonts w:eastAsia="Calibri" w:cs="Times New Roman"/>
          <w:b/>
          <w:sz w:val="22"/>
          <w:szCs w:val="22"/>
        </w:rPr>
      </w:pPr>
      <w:r w:rsidRPr="005F6A99">
        <w:rPr>
          <w:noProof/>
          <w:lang w:val="es-MX" w:eastAsia="es-MX"/>
        </w:rPr>
        <w:drawing>
          <wp:inline distT="0" distB="0" distL="0" distR="0" wp14:anchorId="3FD8D54B" wp14:editId="1212FF52">
            <wp:extent cx="6351270" cy="19964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1996440"/>
                    </a:xfrm>
                    <a:prstGeom prst="rect">
                      <a:avLst/>
                    </a:prstGeom>
                    <a:noFill/>
                    <a:ln>
                      <a:noFill/>
                    </a:ln>
                  </pic:spPr>
                </pic:pic>
              </a:graphicData>
            </a:graphic>
          </wp:inline>
        </w:drawing>
      </w:r>
    </w:p>
    <w:p w14:paraId="21B7F8F0" w14:textId="55F2046B" w:rsidR="00D71AA9" w:rsidRPr="005F6A99" w:rsidRDefault="00D71AA9" w:rsidP="00D71AA9">
      <w:pPr>
        <w:spacing w:before="0" w:after="0"/>
        <w:jc w:val="center"/>
        <w:rPr>
          <w:rFonts w:eastAsia="Calibri" w:cs="Times New Roman"/>
          <w:b/>
          <w:sz w:val="22"/>
          <w:szCs w:val="22"/>
        </w:rPr>
      </w:pPr>
      <w:r w:rsidRPr="005F6A99">
        <w:rPr>
          <w:rFonts w:eastAsia="Calibri" w:cs="Times New Roman"/>
          <w:b/>
          <w:noProof/>
          <w:sz w:val="22"/>
          <w:szCs w:val="22"/>
          <w:lang w:val="es-MX" w:eastAsia="es-MX"/>
        </w:rPr>
        <w:lastRenderedPageBreak/>
        <w:drawing>
          <wp:inline distT="0" distB="0" distL="0" distR="0" wp14:anchorId="380D46E0" wp14:editId="64017D8A">
            <wp:extent cx="5986732" cy="3806928"/>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7282" cy="3832713"/>
                    </a:xfrm>
                    <a:prstGeom prst="rect">
                      <a:avLst/>
                    </a:prstGeom>
                    <a:noFill/>
                  </pic:spPr>
                </pic:pic>
              </a:graphicData>
            </a:graphic>
          </wp:inline>
        </w:drawing>
      </w:r>
    </w:p>
    <w:p w14:paraId="56035B50" w14:textId="77777777" w:rsidR="003628D8" w:rsidRPr="005F6A99" w:rsidRDefault="003628D8" w:rsidP="00C33638">
      <w:pPr>
        <w:spacing w:before="0" w:after="0"/>
        <w:rPr>
          <w:rFonts w:eastAsia="Calibri" w:cs="Times New Roman"/>
          <w:b/>
          <w:sz w:val="22"/>
          <w:szCs w:val="22"/>
        </w:rPr>
      </w:pPr>
    </w:p>
    <w:p w14:paraId="6CA3ADE1" w14:textId="77777777" w:rsidR="00A13CDA" w:rsidRPr="005F6A99" w:rsidRDefault="00A13CDA" w:rsidP="00C33638">
      <w:pPr>
        <w:spacing w:before="0" w:after="0"/>
        <w:rPr>
          <w:rFonts w:eastAsia="Calibri" w:cs="Times New Roman"/>
          <w:b/>
          <w:sz w:val="22"/>
          <w:szCs w:val="22"/>
        </w:rPr>
      </w:pPr>
      <w:r w:rsidRPr="005F6A99">
        <w:rPr>
          <w:rFonts w:eastAsia="Calibri" w:cs="Times New Roman"/>
          <w:b/>
          <w:sz w:val="22"/>
          <w:szCs w:val="22"/>
        </w:rPr>
        <w:t>12. Calificaciones otorgadas</w:t>
      </w:r>
    </w:p>
    <w:p w14:paraId="1CEEC8FF" w14:textId="5F11470B" w:rsidR="00A13CDA" w:rsidRPr="005F6A99" w:rsidRDefault="00A13CDA" w:rsidP="00C33638">
      <w:pPr>
        <w:spacing w:before="0" w:after="0"/>
        <w:rPr>
          <w:rFonts w:eastAsia="Calibri" w:cs="Times New Roman"/>
          <w:bCs/>
          <w:sz w:val="22"/>
          <w:szCs w:val="22"/>
        </w:rPr>
      </w:pPr>
      <w:r w:rsidRPr="005F6A99">
        <w:rPr>
          <w:rFonts w:eastAsia="Calibri" w:cs="Times New Roman"/>
          <w:bCs/>
          <w:sz w:val="22"/>
          <w:szCs w:val="22"/>
        </w:rPr>
        <w:t>Los procesos y transacciones se encuentran sujetos a calificación, la cual actualmente se encuentra en proceso y será informada en el 4to trimestre.</w:t>
      </w:r>
    </w:p>
    <w:p w14:paraId="34DF5F37" w14:textId="77777777" w:rsidR="00A13CDA" w:rsidRPr="005F6A99" w:rsidRDefault="00A13CDA" w:rsidP="00C33638">
      <w:pPr>
        <w:spacing w:before="0" w:after="0"/>
        <w:rPr>
          <w:rFonts w:eastAsia="Calibri" w:cs="Times New Roman"/>
          <w:bCs/>
          <w:sz w:val="22"/>
          <w:szCs w:val="22"/>
        </w:rPr>
      </w:pPr>
    </w:p>
    <w:p w14:paraId="2C8296BA" w14:textId="77777777" w:rsidR="00A13CDA" w:rsidRPr="005F6A99" w:rsidRDefault="00A13CDA" w:rsidP="00C33638">
      <w:pPr>
        <w:spacing w:before="0" w:after="0"/>
        <w:rPr>
          <w:rFonts w:eastAsia="Calibri" w:cs="Times New Roman"/>
          <w:b/>
          <w:sz w:val="22"/>
          <w:szCs w:val="22"/>
        </w:rPr>
      </w:pPr>
      <w:r w:rsidRPr="005F6A99">
        <w:rPr>
          <w:rFonts w:eastAsia="Calibri" w:cs="Times New Roman"/>
          <w:b/>
          <w:sz w:val="22"/>
          <w:szCs w:val="22"/>
        </w:rPr>
        <w:t>13.- Procesos de mejora</w:t>
      </w:r>
    </w:p>
    <w:p w14:paraId="44E39F85" w14:textId="3CAC8CC8" w:rsidR="00A13CDA" w:rsidRPr="005F6A99" w:rsidRDefault="00A13CDA" w:rsidP="00C33638">
      <w:pPr>
        <w:spacing w:before="0" w:after="0"/>
        <w:rPr>
          <w:rFonts w:eastAsia="Calibri" w:cs="Times New Roman"/>
          <w:b/>
          <w:sz w:val="22"/>
          <w:szCs w:val="22"/>
        </w:rPr>
      </w:pPr>
      <w:r w:rsidRPr="005F6A99">
        <w:rPr>
          <w:rFonts w:eastAsia="Calibri" w:cs="Times New Roman"/>
          <w:b/>
          <w:sz w:val="22"/>
          <w:szCs w:val="22"/>
        </w:rPr>
        <w:t>a) Principales políticas de control interno</w:t>
      </w:r>
    </w:p>
    <w:p w14:paraId="44EB002E" w14:textId="0672B88F" w:rsidR="00A13CDA" w:rsidRPr="005F6A99" w:rsidRDefault="00A13CDA" w:rsidP="00C33638">
      <w:pPr>
        <w:spacing w:before="0" w:after="0"/>
        <w:rPr>
          <w:rFonts w:eastAsia="Calibri" w:cs="Times New Roman"/>
          <w:bCs/>
          <w:sz w:val="22"/>
          <w:szCs w:val="22"/>
        </w:rPr>
      </w:pPr>
    </w:p>
    <w:p w14:paraId="7A1F033D" w14:textId="2A0C07A3" w:rsidR="00A13CDA" w:rsidRPr="005F6A99" w:rsidRDefault="00A13CDA" w:rsidP="00C33638">
      <w:pPr>
        <w:spacing w:before="0" w:after="0"/>
        <w:rPr>
          <w:rFonts w:eastAsia="Calibri" w:cs="Times New Roman"/>
          <w:bCs/>
          <w:sz w:val="22"/>
          <w:szCs w:val="22"/>
        </w:rPr>
      </w:pPr>
      <w:r w:rsidRPr="005F6A99">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2A8DD3B4" w14:textId="77777777" w:rsidR="00A13CDA" w:rsidRPr="005F6A99" w:rsidRDefault="00A13CDA" w:rsidP="00C33638">
      <w:pPr>
        <w:spacing w:before="0" w:after="0"/>
        <w:rPr>
          <w:rFonts w:eastAsia="Calibri" w:cs="Times New Roman"/>
          <w:bCs/>
          <w:sz w:val="22"/>
          <w:szCs w:val="22"/>
        </w:rPr>
      </w:pPr>
    </w:p>
    <w:p w14:paraId="1A3BD2E2" w14:textId="48A54BD2" w:rsidR="00A13CDA" w:rsidRPr="005F6A99" w:rsidRDefault="00A13CDA" w:rsidP="00C33638">
      <w:pPr>
        <w:spacing w:before="0" w:after="0"/>
        <w:rPr>
          <w:rFonts w:eastAsia="Calibri" w:cs="Times New Roman"/>
          <w:bCs/>
          <w:sz w:val="22"/>
          <w:szCs w:val="22"/>
        </w:rPr>
      </w:pPr>
      <w:r w:rsidRPr="005F6A99">
        <w:rPr>
          <w:rFonts w:eastAsia="Calibri" w:cs="Times New Roman"/>
          <w:bCs/>
          <w:sz w:val="22"/>
          <w:szCs w:val="22"/>
        </w:rPr>
        <w:lastRenderedPageBreak/>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085AA55D" w14:textId="18868DBF" w:rsidR="00A13CDA" w:rsidRPr="005F6A99" w:rsidRDefault="00A13CDA" w:rsidP="00C33638">
      <w:pPr>
        <w:spacing w:before="0" w:after="0"/>
        <w:rPr>
          <w:rFonts w:eastAsia="Calibri" w:cs="Times New Roman"/>
          <w:bCs/>
          <w:sz w:val="22"/>
          <w:szCs w:val="22"/>
        </w:rPr>
      </w:pPr>
    </w:p>
    <w:p w14:paraId="7CF88B42" w14:textId="71D8034A" w:rsidR="00A13CDA" w:rsidRPr="005F6A99" w:rsidRDefault="00A13CDA" w:rsidP="00C33638">
      <w:pPr>
        <w:spacing w:before="0" w:after="0"/>
        <w:rPr>
          <w:rFonts w:eastAsia="Calibri" w:cs="Times New Roman"/>
          <w:bCs/>
          <w:sz w:val="22"/>
          <w:szCs w:val="22"/>
        </w:rPr>
      </w:pPr>
      <w:r w:rsidRPr="005F6A99">
        <w:rPr>
          <w:rFonts w:eastAsia="Calibri" w:cs="Times New Roman"/>
          <w:bCs/>
          <w:sz w:val="22"/>
          <w:szCs w:val="22"/>
        </w:rPr>
        <w:t>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7031344" w14:textId="1C06C20A" w:rsidR="00A13CDA" w:rsidRPr="005F6A99" w:rsidRDefault="00A13CDA" w:rsidP="00C33638">
      <w:pPr>
        <w:spacing w:before="0" w:after="0"/>
        <w:rPr>
          <w:rFonts w:eastAsia="Calibri" w:cs="Times New Roman"/>
          <w:bCs/>
          <w:sz w:val="22"/>
          <w:szCs w:val="22"/>
        </w:rPr>
      </w:pPr>
    </w:p>
    <w:p w14:paraId="4A4EC529" w14:textId="123FC12B" w:rsidR="00A13CDA" w:rsidRPr="005F6A99" w:rsidRDefault="00A13CDA" w:rsidP="00C33638">
      <w:pPr>
        <w:spacing w:before="0" w:after="0"/>
        <w:rPr>
          <w:rFonts w:eastAsia="Calibri" w:cs="Times New Roman"/>
          <w:bCs/>
          <w:sz w:val="22"/>
          <w:szCs w:val="22"/>
        </w:rPr>
      </w:pPr>
      <w:r w:rsidRPr="005F6A99">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644B86E" w14:textId="77777777" w:rsidR="00E7156D" w:rsidRPr="005F6A99" w:rsidRDefault="00E7156D" w:rsidP="00C33638">
      <w:pPr>
        <w:spacing w:before="0" w:after="0"/>
        <w:rPr>
          <w:rFonts w:eastAsia="Calibri" w:cs="Times New Roman"/>
          <w:bCs/>
          <w:sz w:val="22"/>
          <w:szCs w:val="22"/>
        </w:rPr>
      </w:pPr>
    </w:p>
    <w:p w14:paraId="529F5FE3" w14:textId="15D2663C" w:rsidR="005A0A89" w:rsidRPr="005F6A99" w:rsidRDefault="005A0A89" w:rsidP="00C33638">
      <w:pPr>
        <w:spacing w:before="0" w:after="0"/>
        <w:rPr>
          <w:rFonts w:eastAsia="Calibri" w:cs="Times New Roman"/>
          <w:bCs/>
          <w:sz w:val="22"/>
          <w:szCs w:val="22"/>
        </w:rPr>
      </w:pPr>
      <w:r w:rsidRPr="005F6A99">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5D121412" w14:textId="7446ED20" w:rsidR="005A0A89" w:rsidRPr="005F6A99" w:rsidRDefault="005A0A89" w:rsidP="00E7156D">
      <w:pPr>
        <w:spacing w:before="0" w:after="0"/>
        <w:jc w:val="center"/>
        <w:rPr>
          <w:rFonts w:eastAsia="Calibri" w:cs="Times New Roman"/>
          <w:bCs/>
          <w:sz w:val="22"/>
          <w:szCs w:val="22"/>
        </w:rPr>
      </w:pPr>
      <w:r w:rsidRPr="005F6A99">
        <w:rPr>
          <w:rFonts w:eastAsia="Calibri" w:cs="Times New Roman"/>
          <w:bCs/>
          <w:noProof/>
          <w:sz w:val="22"/>
          <w:szCs w:val="22"/>
          <w:lang w:val="es-MX" w:eastAsia="es-MX"/>
        </w:rPr>
        <w:drawing>
          <wp:inline distT="0" distB="0" distL="0" distR="0" wp14:anchorId="3E045280" wp14:editId="5A51F936">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55EE1697" w14:textId="638B058D" w:rsidR="00A13CDA" w:rsidRPr="005F6A99" w:rsidRDefault="005A0A89" w:rsidP="00C33638">
      <w:pPr>
        <w:spacing w:before="0" w:after="0"/>
        <w:rPr>
          <w:rFonts w:eastAsia="Calibri" w:cs="Times New Roman"/>
          <w:bCs/>
          <w:sz w:val="22"/>
          <w:szCs w:val="22"/>
        </w:rPr>
      </w:pPr>
      <w:r w:rsidRPr="005F6A99">
        <w:rPr>
          <w:rFonts w:eastAsia="Calibri" w:cs="Times New Roman"/>
          <w:bCs/>
          <w:sz w:val="22"/>
          <w:szCs w:val="22"/>
        </w:rPr>
        <w:lastRenderedPageBreak/>
        <w:t>Una vez clasificados los riesgos, se define la estrategia de atención como sigue:</w:t>
      </w:r>
    </w:p>
    <w:p w14:paraId="6760CC82" w14:textId="079292B6" w:rsidR="005A0A89" w:rsidRPr="005F6A99" w:rsidRDefault="005A0A89" w:rsidP="00C33638">
      <w:pPr>
        <w:spacing w:before="0" w:after="0"/>
        <w:rPr>
          <w:rFonts w:eastAsia="Calibri" w:cs="Times New Roman"/>
          <w:bCs/>
          <w:sz w:val="22"/>
          <w:szCs w:val="22"/>
        </w:rPr>
      </w:pPr>
    </w:p>
    <w:p w14:paraId="44E2C971" w14:textId="05D9430F" w:rsidR="005A0A89" w:rsidRPr="005F6A99" w:rsidRDefault="005A0A89" w:rsidP="005A0A89">
      <w:pPr>
        <w:spacing w:before="0" w:after="0"/>
        <w:rPr>
          <w:rFonts w:eastAsia="Calibri" w:cs="Times New Roman"/>
          <w:bCs/>
          <w:sz w:val="22"/>
          <w:szCs w:val="22"/>
        </w:rPr>
      </w:pPr>
      <w:r w:rsidRPr="005F6A99">
        <w:rPr>
          <w:rFonts w:eastAsia="Calibri" w:cs="Times New Roman"/>
          <w:bCs/>
          <w:sz w:val="22"/>
          <w:szCs w:val="22"/>
        </w:rPr>
        <w:t xml:space="preserve">1. Reducir el riesgo. Implica establecer acciones dirigidas a disminuir la probabilidad de ocurrencia (acciones de </w:t>
      </w:r>
      <w:r w:rsidR="00055CD3" w:rsidRPr="005F6A99">
        <w:rPr>
          <w:rFonts w:eastAsia="Calibri" w:cs="Times New Roman"/>
          <w:bCs/>
          <w:sz w:val="22"/>
          <w:szCs w:val="22"/>
        </w:rPr>
        <w:t>prevención</w:t>
      </w:r>
      <w:r w:rsidRPr="005F6A99">
        <w:rPr>
          <w:rFonts w:eastAsia="Calibri" w:cs="Times New Roman"/>
          <w:bCs/>
          <w:sz w:val="22"/>
          <w:szCs w:val="22"/>
        </w:rPr>
        <w:t xml:space="preserve">) y el impacto (acciones de contingencia), tales como la </w:t>
      </w:r>
      <w:r w:rsidR="00055CD3" w:rsidRPr="005F6A99">
        <w:rPr>
          <w:rFonts w:eastAsia="Calibri" w:cs="Times New Roman"/>
          <w:bCs/>
          <w:sz w:val="22"/>
          <w:szCs w:val="22"/>
        </w:rPr>
        <w:t>optimización</w:t>
      </w:r>
      <w:r w:rsidRPr="005F6A99">
        <w:rPr>
          <w:rFonts w:eastAsia="Calibri" w:cs="Times New Roman"/>
          <w:bCs/>
          <w:sz w:val="22"/>
          <w:szCs w:val="22"/>
        </w:rPr>
        <w:t xml:space="preserve"> de los procedimientos y la </w:t>
      </w:r>
      <w:r w:rsidR="00055CD3" w:rsidRPr="005F6A99">
        <w:rPr>
          <w:rFonts w:eastAsia="Calibri" w:cs="Times New Roman"/>
          <w:bCs/>
          <w:sz w:val="22"/>
          <w:szCs w:val="22"/>
        </w:rPr>
        <w:t>implementación</w:t>
      </w:r>
      <w:r w:rsidRPr="005F6A99">
        <w:rPr>
          <w:rFonts w:eastAsia="Calibri" w:cs="Times New Roman"/>
          <w:bCs/>
          <w:sz w:val="22"/>
          <w:szCs w:val="22"/>
        </w:rPr>
        <w:t xml:space="preserve"> o mejora de controles. </w:t>
      </w:r>
    </w:p>
    <w:p w14:paraId="05F8696A" w14:textId="77777777" w:rsidR="00055CD3" w:rsidRPr="005F6A99" w:rsidRDefault="00055CD3" w:rsidP="005A0A89">
      <w:pPr>
        <w:spacing w:before="0" w:after="0"/>
        <w:rPr>
          <w:rFonts w:eastAsia="Calibri" w:cs="Times New Roman"/>
          <w:bCs/>
          <w:sz w:val="22"/>
          <w:szCs w:val="22"/>
        </w:rPr>
      </w:pPr>
    </w:p>
    <w:p w14:paraId="4B56D9F4" w14:textId="365D8206" w:rsidR="005A0A89" w:rsidRPr="005F6A99" w:rsidRDefault="005A0A89" w:rsidP="005A0A89">
      <w:pPr>
        <w:spacing w:before="0" w:after="0"/>
        <w:rPr>
          <w:rFonts w:eastAsia="Calibri" w:cs="Times New Roman"/>
          <w:bCs/>
          <w:sz w:val="22"/>
          <w:szCs w:val="22"/>
        </w:rPr>
      </w:pPr>
      <w:r w:rsidRPr="005F6A99">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w:t>
      </w:r>
      <w:r w:rsidR="00055CD3" w:rsidRPr="005F6A99">
        <w:rPr>
          <w:rFonts w:eastAsia="Calibri" w:cs="Times New Roman"/>
          <w:bCs/>
          <w:sz w:val="22"/>
          <w:szCs w:val="22"/>
        </w:rPr>
        <w:t>opción</w:t>
      </w:r>
      <w:r w:rsidRPr="005F6A99">
        <w:rPr>
          <w:rFonts w:eastAsia="Calibri" w:cs="Times New Roman"/>
          <w:bCs/>
          <w:sz w:val="22"/>
          <w:szCs w:val="22"/>
        </w:rPr>
        <w:t xml:space="preserve"> para abatirlo y </w:t>
      </w:r>
      <w:r w:rsidR="00055CD3" w:rsidRPr="005F6A99">
        <w:rPr>
          <w:rFonts w:eastAsia="Calibri" w:cs="Times New Roman"/>
          <w:bCs/>
          <w:sz w:val="22"/>
          <w:szCs w:val="22"/>
        </w:rPr>
        <w:t>solo</w:t>
      </w:r>
      <w:r w:rsidRPr="005F6A99">
        <w:rPr>
          <w:rFonts w:eastAsia="Calibri" w:cs="Times New Roman"/>
          <w:bCs/>
          <w:sz w:val="22"/>
          <w:szCs w:val="22"/>
        </w:rPr>
        <w:t xml:space="preserve"> pueden establecerse acciones de contingencia. </w:t>
      </w:r>
    </w:p>
    <w:p w14:paraId="5DF440AD" w14:textId="1B14F301" w:rsidR="005A0A89" w:rsidRPr="005F6A99" w:rsidRDefault="005A0A89" w:rsidP="005A0A89">
      <w:pPr>
        <w:spacing w:before="0" w:after="0"/>
        <w:rPr>
          <w:rFonts w:eastAsia="Calibri" w:cs="Times New Roman"/>
          <w:bCs/>
          <w:sz w:val="22"/>
          <w:szCs w:val="22"/>
        </w:rPr>
      </w:pPr>
      <w:r w:rsidRPr="005F6A99">
        <w:rPr>
          <w:rFonts w:eastAsia="Calibri" w:cs="Times New Roman"/>
          <w:bCs/>
          <w:sz w:val="22"/>
          <w:szCs w:val="22"/>
        </w:rPr>
        <w:t xml:space="preserve">3. Transferir el riesgo. Consiste en trasladar el riesgo a un externo a </w:t>
      </w:r>
      <w:r w:rsidR="00055CD3" w:rsidRPr="005F6A99">
        <w:rPr>
          <w:rFonts w:eastAsia="Calibri" w:cs="Times New Roman"/>
          <w:bCs/>
          <w:sz w:val="22"/>
          <w:szCs w:val="22"/>
        </w:rPr>
        <w:t>través</w:t>
      </w:r>
      <w:r w:rsidRPr="005F6A99">
        <w:rPr>
          <w:rFonts w:eastAsia="Calibri" w:cs="Times New Roman"/>
          <w:bCs/>
          <w:sz w:val="22"/>
          <w:szCs w:val="22"/>
        </w:rPr>
        <w:t xml:space="preserve"> de la </w:t>
      </w:r>
      <w:r w:rsidR="00055CD3" w:rsidRPr="005F6A99">
        <w:rPr>
          <w:rFonts w:eastAsia="Calibri" w:cs="Times New Roman"/>
          <w:bCs/>
          <w:sz w:val="22"/>
          <w:szCs w:val="22"/>
        </w:rPr>
        <w:t>contratación</w:t>
      </w:r>
      <w:r w:rsidRPr="005F6A99">
        <w:rPr>
          <w:rFonts w:eastAsia="Calibri" w:cs="Times New Roman"/>
          <w:bCs/>
          <w:sz w:val="22"/>
          <w:szCs w:val="22"/>
        </w:rPr>
        <w:t xml:space="preserve"> de servicios </w:t>
      </w:r>
      <w:proofErr w:type="spellStart"/>
      <w:r w:rsidRPr="005F6A99">
        <w:rPr>
          <w:rFonts w:eastAsia="Calibri" w:cs="Times New Roman"/>
          <w:bCs/>
          <w:sz w:val="22"/>
          <w:szCs w:val="22"/>
        </w:rPr>
        <w:t>tercerizados</w:t>
      </w:r>
      <w:proofErr w:type="spellEnd"/>
      <w:r w:rsidRPr="005F6A99">
        <w:rPr>
          <w:rFonts w:eastAsia="Calibri" w:cs="Times New Roman"/>
          <w:bCs/>
          <w:sz w:val="22"/>
          <w:szCs w:val="22"/>
        </w:rPr>
        <w:t xml:space="preserve">, el cual </w:t>
      </w:r>
      <w:r w:rsidR="00055CD3" w:rsidRPr="005F6A99">
        <w:rPr>
          <w:rFonts w:eastAsia="Calibri" w:cs="Times New Roman"/>
          <w:bCs/>
          <w:sz w:val="22"/>
          <w:szCs w:val="22"/>
        </w:rPr>
        <w:t>deberá</w:t>
      </w:r>
      <w:r w:rsidRPr="005F6A99">
        <w:rPr>
          <w:rFonts w:eastAsia="Calibri" w:cs="Times New Roman"/>
          <w:bCs/>
          <w:sz w:val="22"/>
          <w:szCs w:val="22"/>
        </w:rPr>
        <w:t>́</w:t>
      </w:r>
      <w:r w:rsidR="00055CD3" w:rsidRPr="005F6A99">
        <w:rPr>
          <w:rFonts w:eastAsia="Calibri" w:cs="Times New Roman"/>
          <w:bCs/>
          <w:sz w:val="22"/>
          <w:szCs w:val="22"/>
        </w:rPr>
        <w:t xml:space="preserve"> te</w:t>
      </w:r>
      <w:r w:rsidRPr="005F6A99">
        <w:rPr>
          <w:rFonts w:eastAsia="Calibri" w:cs="Times New Roman"/>
          <w:bCs/>
          <w:sz w:val="22"/>
          <w:szCs w:val="22"/>
        </w:rPr>
        <w:t xml:space="preserve">ner la experiencia y </w:t>
      </w:r>
      <w:r w:rsidR="00055CD3" w:rsidRPr="005F6A99">
        <w:rPr>
          <w:rFonts w:eastAsia="Calibri" w:cs="Times New Roman"/>
          <w:bCs/>
          <w:sz w:val="22"/>
          <w:szCs w:val="22"/>
        </w:rPr>
        <w:t>especialización</w:t>
      </w:r>
      <w:r w:rsidRPr="005F6A99">
        <w:rPr>
          <w:rFonts w:eastAsia="Calibri" w:cs="Times New Roman"/>
          <w:bCs/>
          <w:sz w:val="22"/>
          <w:szCs w:val="22"/>
        </w:rPr>
        <w:t xml:space="preserve"> necesaria para asumir el riesgo, </w:t>
      </w:r>
      <w:r w:rsidR="00055CD3" w:rsidRPr="005F6A99">
        <w:rPr>
          <w:rFonts w:eastAsia="Calibri" w:cs="Times New Roman"/>
          <w:bCs/>
          <w:sz w:val="22"/>
          <w:szCs w:val="22"/>
        </w:rPr>
        <w:t>así</w:t>
      </w:r>
      <w:r w:rsidRPr="005F6A99">
        <w:rPr>
          <w:rFonts w:eastAsia="Calibri" w:cs="Times New Roman"/>
          <w:bCs/>
          <w:sz w:val="22"/>
          <w:szCs w:val="22"/>
        </w:rPr>
        <w:t xml:space="preserve">́ como sus impactos o </w:t>
      </w:r>
      <w:r w:rsidR="00055CD3" w:rsidRPr="005F6A99">
        <w:rPr>
          <w:rFonts w:eastAsia="Calibri" w:cs="Times New Roman"/>
          <w:bCs/>
          <w:sz w:val="22"/>
          <w:szCs w:val="22"/>
        </w:rPr>
        <w:t>pérdidas</w:t>
      </w:r>
      <w:r w:rsidRPr="005F6A99">
        <w:rPr>
          <w:rFonts w:eastAsia="Calibri" w:cs="Times New Roman"/>
          <w:bCs/>
          <w:sz w:val="22"/>
          <w:szCs w:val="22"/>
        </w:rPr>
        <w:t xml:space="preserve"> derivadas de su </w:t>
      </w:r>
      <w:r w:rsidR="00055CD3" w:rsidRPr="005F6A99">
        <w:rPr>
          <w:rFonts w:eastAsia="Calibri" w:cs="Times New Roman"/>
          <w:bCs/>
          <w:sz w:val="22"/>
          <w:szCs w:val="22"/>
        </w:rPr>
        <w:t>materialización</w:t>
      </w:r>
      <w:r w:rsidRPr="005F6A99">
        <w:rPr>
          <w:rFonts w:eastAsia="Calibri" w:cs="Times New Roman"/>
          <w:bCs/>
          <w:sz w:val="22"/>
          <w:szCs w:val="22"/>
        </w:rPr>
        <w:t xml:space="preserve"> </w:t>
      </w:r>
    </w:p>
    <w:p w14:paraId="058EA8BA" w14:textId="77777777" w:rsidR="00055CD3" w:rsidRPr="005F6A99" w:rsidRDefault="00055CD3" w:rsidP="005A0A89">
      <w:pPr>
        <w:spacing w:before="0" w:after="0"/>
        <w:rPr>
          <w:rFonts w:eastAsia="Calibri" w:cs="Times New Roman"/>
          <w:bCs/>
          <w:sz w:val="22"/>
          <w:szCs w:val="22"/>
        </w:rPr>
      </w:pPr>
    </w:p>
    <w:p w14:paraId="7E622148" w14:textId="1F169C5B" w:rsidR="005A0A89" w:rsidRPr="005F6A99" w:rsidRDefault="005A0A89" w:rsidP="005A0A89">
      <w:pPr>
        <w:spacing w:before="0" w:after="0"/>
        <w:rPr>
          <w:rFonts w:eastAsia="Calibri" w:cs="Times New Roman"/>
          <w:bCs/>
          <w:sz w:val="22"/>
          <w:szCs w:val="22"/>
        </w:rPr>
      </w:pPr>
      <w:r w:rsidRPr="005F6A99">
        <w:rPr>
          <w:rFonts w:eastAsia="Calibri" w:cs="Times New Roman"/>
          <w:bCs/>
          <w:sz w:val="22"/>
          <w:szCs w:val="22"/>
        </w:rPr>
        <w:t xml:space="preserve">4. Compartir el </w:t>
      </w:r>
      <w:proofErr w:type="gramStart"/>
      <w:r w:rsidRPr="005F6A99">
        <w:rPr>
          <w:rFonts w:eastAsia="Calibri" w:cs="Times New Roman"/>
          <w:bCs/>
          <w:sz w:val="22"/>
          <w:szCs w:val="22"/>
        </w:rPr>
        <w:t>riesgo.-</w:t>
      </w:r>
      <w:proofErr w:type="gramEnd"/>
      <w:r w:rsidRPr="005F6A99">
        <w:rPr>
          <w:rFonts w:eastAsia="Calibri" w:cs="Times New Roman"/>
          <w:bCs/>
          <w:sz w:val="22"/>
          <w:szCs w:val="22"/>
        </w:rPr>
        <w:t xml:space="preserve"> Se refiere a distribuir parcialmente el riesgo y las posibles consecuencias, a efecto de segmentarlo y canalizarlo a diferentes unidades administrativas de la </w:t>
      </w:r>
      <w:r w:rsidR="00055CD3" w:rsidRPr="005F6A99">
        <w:rPr>
          <w:rFonts w:eastAsia="Calibri" w:cs="Times New Roman"/>
          <w:bCs/>
          <w:sz w:val="22"/>
          <w:szCs w:val="22"/>
        </w:rPr>
        <w:t>institución</w:t>
      </w:r>
      <w:r w:rsidRPr="005F6A99">
        <w:rPr>
          <w:rFonts w:eastAsia="Calibri" w:cs="Times New Roman"/>
          <w:bCs/>
          <w:sz w:val="22"/>
          <w:szCs w:val="22"/>
        </w:rPr>
        <w:t xml:space="preserve">, las cuales se </w:t>
      </w:r>
      <w:r w:rsidR="00055CD3" w:rsidRPr="005F6A99">
        <w:rPr>
          <w:rFonts w:eastAsia="Calibri" w:cs="Times New Roman"/>
          <w:bCs/>
          <w:sz w:val="22"/>
          <w:szCs w:val="22"/>
        </w:rPr>
        <w:t>responsabilizaran</w:t>
      </w:r>
      <w:r w:rsidRPr="005F6A99">
        <w:rPr>
          <w:rFonts w:eastAsia="Calibri" w:cs="Times New Roman"/>
          <w:bCs/>
          <w:sz w:val="22"/>
          <w:szCs w:val="22"/>
        </w:rPr>
        <w:t xml:space="preserve"> de la parte del riesgo que les corresponda en su </w:t>
      </w:r>
      <w:r w:rsidR="00055CD3" w:rsidRPr="005F6A99">
        <w:rPr>
          <w:rFonts w:eastAsia="Calibri" w:cs="Times New Roman"/>
          <w:bCs/>
          <w:sz w:val="22"/>
          <w:szCs w:val="22"/>
        </w:rPr>
        <w:t>ámbito</w:t>
      </w:r>
      <w:r w:rsidRPr="005F6A99">
        <w:rPr>
          <w:rFonts w:eastAsia="Calibri" w:cs="Times New Roman"/>
          <w:bCs/>
          <w:sz w:val="22"/>
          <w:szCs w:val="22"/>
        </w:rPr>
        <w:t xml:space="preserve"> de competencia. </w:t>
      </w:r>
    </w:p>
    <w:p w14:paraId="12D75517" w14:textId="77777777" w:rsidR="00055CD3" w:rsidRPr="005F6A99" w:rsidRDefault="00055CD3" w:rsidP="005A0A89">
      <w:pPr>
        <w:spacing w:before="0" w:after="0"/>
        <w:rPr>
          <w:rFonts w:eastAsia="Calibri" w:cs="Times New Roman"/>
          <w:bCs/>
          <w:sz w:val="22"/>
          <w:szCs w:val="22"/>
        </w:rPr>
      </w:pPr>
    </w:p>
    <w:p w14:paraId="15A3D1B4" w14:textId="74F6E594" w:rsidR="005A0A89" w:rsidRPr="005F6A99" w:rsidRDefault="005A0A89" w:rsidP="005A0A89">
      <w:pPr>
        <w:spacing w:before="0" w:after="0"/>
        <w:rPr>
          <w:rFonts w:eastAsia="Calibri" w:cs="Times New Roman"/>
          <w:bCs/>
          <w:sz w:val="22"/>
          <w:szCs w:val="22"/>
        </w:rPr>
      </w:pPr>
      <w:r w:rsidRPr="005F6A99">
        <w:rPr>
          <w:rFonts w:eastAsia="Calibri" w:cs="Times New Roman"/>
          <w:bCs/>
          <w:sz w:val="22"/>
          <w:szCs w:val="22"/>
        </w:rPr>
        <w:t xml:space="preserve">5. Tolerancia al Riesgo. La </w:t>
      </w:r>
      <w:r w:rsidR="00055CD3" w:rsidRPr="005F6A99">
        <w:rPr>
          <w:rFonts w:eastAsia="Calibri" w:cs="Times New Roman"/>
          <w:bCs/>
          <w:sz w:val="22"/>
          <w:szCs w:val="22"/>
        </w:rPr>
        <w:t>Administración</w:t>
      </w:r>
      <w:r w:rsidRPr="005F6A99">
        <w:rPr>
          <w:rFonts w:eastAsia="Calibri" w:cs="Times New Roman"/>
          <w:bCs/>
          <w:sz w:val="22"/>
          <w:szCs w:val="22"/>
        </w:rPr>
        <w:t xml:space="preserve"> </w:t>
      </w:r>
      <w:r w:rsidR="00055CD3" w:rsidRPr="005F6A99">
        <w:rPr>
          <w:rFonts w:eastAsia="Calibri" w:cs="Times New Roman"/>
          <w:bCs/>
          <w:sz w:val="22"/>
          <w:szCs w:val="22"/>
        </w:rPr>
        <w:t>deberá</w:t>
      </w:r>
      <w:r w:rsidRPr="005F6A99">
        <w:rPr>
          <w:rFonts w:eastAsia="Calibri" w:cs="Times New Roman"/>
          <w:bCs/>
          <w:sz w:val="22"/>
          <w:szCs w:val="22"/>
        </w:rPr>
        <w:t xml:space="preserve">́ definir la tolerancia a los riesgos identificados para los objetivos </w:t>
      </w:r>
      <w:r w:rsidR="00055CD3" w:rsidRPr="005F6A99">
        <w:rPr>
          <w:rFonts w:eastAsia="Calibri" w:cs="Times New Roman"/>
          <w:bCs/>
          <w:sz w:val="22"/>
          <w:szCs w:val="22"/>
        </w:rPr>
        <w:t>estratégicos</w:t>
      </w:r>
      <w:r w:rsidRPr="005F6A99">
        <w:rPr>
          <w:rFonts w:eastAsia="Calibri" w:cs="Times New Roman"/>
          <w:bCs/>
          <w:sz w:val="22"/>
          <w:szCs w:val="22"/>
        </w:rPr>
        <w:t xml:space="preserve"> definidos por la </w:t>
      </w:r>
      <w:r w:rsidR="00055CD3" w:rsidRPr="005F6A99">
        <w:rPr>
          <w:rFonts w:eastAsia="Calibri" w:cs="Times New Roman"/>
          <w:bCs/>
          <w:sz w:val="22"/>
          <w:szCs w:val="22"/>
        </w:rPr>
        <w:t>Institución</w:t>
      </w:r>
      <w:r w:rsidRPr="005F6A99">
        <w:rPr>
          <w:rFonts w:eastAsia="Calibri" w:cs="Times New Roman"/>
          <w:bCs/>
          <w:sz w:val="22"/>
          <w:szCs w:val="22"/>
        </w:rPr>
        <w:t xml:space="preserve">. En donde la tolerancia al riesgo se debe considerar como el nivel aceptable de diferencia entre el cumplimiento cabal del objetivo </w:t>
      </w:r>
      <w:r w:rsidR="00055CD3" w:rsidRPr="005F6A99">
        <w:rPr>
          <w:rFonts w:eastAsia="Calibri" w:cs="Times New Roman"/>
          <w:bCs/>
          <w:sz w:val="22"/>
          <w:szCs w:val="22"/>
        </w:rPr>
        <w:t>estratégico</w:t>
      </w:r>
      <w:r w:rsidRPr="005F6A99">
        <w:rPr>
          <w:rFonts w:eastAsia="Calibri" w:cs="Times New Roman"/>
          <w:bCs/>
          <w:sz w:val="22"/>
          <w:szCs w:val="22"/>
        </w:rPr>
        <w:t xml:space="preserve">, respecto de su grado real de cumplimiento </w:t>
      </w:r>
    </w:p>
    <w:p w14:paraId="31A5026D" w14:textId="77777777" w:rsidR="00055CD3" w:rsidRPr="005F6A99" w:rsidRDefault="00055CD3" w:rsidP="005A0A89">
      <w:pPr>
        <w:spacing w:before="0" w:after="0"/>
        <w:rPr>
          <w:rFonts w:eastAsia="Calibri" w:cs="Times New Roman"/>
          <w:bCs/>
          <w:sz w:val="22"/>
          <w:szCs w:val="22"/>
        </w:rPr>
      </w:pPr>
    </w:p>
    <w:p w14:paraId="1D1310C8" w14:textId="1E584DC7" w:rsidR="005A0A89" w:rsidRPr="005F6A99" w:rsidRDefault="005A0A89" w:rsidP="005A0A89">
      <w:pPr>
        <w:spacing w:before="0" w:after="0"/>
        <w:rPr>
          <w:rFonts w:eastAsia="Calibri" w:cs="Times New Roman"/>
          <w:bCs/>
          <w:sz w:val="22"/>
          <w:szCs w:val="22"/>
        </w:rPr>
      </w:pPr>
      <w:r w:rsidRPr="005F6A99">
        <w:rPr>
          <w:rFonts w:eastAsia="Calibri" w:cs="Times New Roman"/>
          <w:bCs/>
          <w:sz w:val="22"/>
          <w:szCs w:val="22"/>
        </w:rPr>
        <w:lastRenderedPageBreak/>
        <w:t xml:space="preserve">6. Servicios </w:t>
      </w:r>
      <w:proofErr w:type="spellStart"/>
      <w:r w:rsidRPr="005F6A99">
        <w:rPr>
          <w:rFonts w:eastAsia="Calibri" w:cs="Times New Roman"/>
          <w:bCs/>
          <w:sz w:val="22"/>
          <w:szCs w:val="22"/>
        </w:rPr>
        <w:t>Tercerizados</w:t>
      </w:r>
      <w:proofErr w:type="spellEnd"/>
      <w:r w:rsidRPr="005F6A99">
        <w:rPr>
          <w:rFonts w:eastAsia="Calibri" w:cs="Times New Roman"/>
          <w:bCs/>
          <w:sz w:val="22"/>
          <w:szCs w:val="22"/>
        </w:rPr>
        <w:t xml:space="preserve">. La </w:t>
      </w:r>
      <w:r w:rsidR="00055CD3" w:rsidRPr="005F6A99">
        <w:rPr>
          <w:rFonts w:eastAsia="Calibri" w:cs="Times New Roman"/>
          <w:bCs/>
          <w:sz w:val="22"/>
          <w:szCs w:val="22"/>
        </w:rPr>
        <w:t>Administración</w:t>
      </w:r>
      <w:r w:rsidRPr="005F6A99">
        <w:rPr>
          <w:rFonts w:eastAsia="Calibri" w:cs="Times New Roman"/>
          <w:bCs/>
          <w:sz w:val="22"/>
          <w:szCs w:val="22"/>
        </w:rPr>
        <w:t xml:space="preserve"> conserva la responsabilidad sobre el </w:t>
      </w:r>
      <w:r w:rsidR="00055CD3" w:rsidRPr="005F6A99">
        <w:rPr>
          <w:rFonts w:eastAsia="Calibri" w:cs="Times New Roman"/>
          <w:bCs/>
          <w:sz w:val="22"/>
          <w:szCs w:val="22"/>
        </w:rPr>
        <w:t>desempeño</w:t>
      </w:r>
      <w:r w:rsidRPr="005F6A99">
        <w:rPr>
          <w:rFonts w:eastAsia="Calibri" w:cs="Times New Roman"/>
          <w:bCs/>
          <w:sz w:val="22"/>
          <w:szCs w:val="22"/>
        </w:rPr>
        <w:t xml:space="preserve"> de las actividades realizadas por los servicios </w:t>
      </w:r>
      <w:proofErr w:type="spellStart"/>
      <w:r w:rsidRPr="005F6A99">
        <w:rPr>
          <w:rFonts w:eastAsia="Calibri" w:cs="Times New Roman"/>
          <w:bCs/>
          <w:sz w:val="22"/>
          <w:szCs w:val="22"/>
        </w:rPr>
        <w:t>tercerizados</w:t>
      </w:r>
      <w:proofErr w:type="spellEnd"/>
      <w:r w:rsidRPr="005F6A99">
        <w:rPr>
          <w:rFonts w:eastAsia="Calibri" w:cs="Times New Roman"/>
          <w:bCs/>
          <w:sz w:val="22"/>
          <w:szCs w:val="22"/>
        </w:rPr>
        <w:t xml:space="preserve"> que contrate para realizar algunos procesos operativos para la </w:t>
      </w:r>
      <w:r w:rsidR="00055CD3" w:rsidRPr="005F6A99">
        <w:rPr>
          <w:rFonts w:eastAsia="Calibri" w:cs="Times New Roman"/>
          <w:bCs/>
          <w:sz w:val="22"/>
          <w:szCs w:val="22"/>
        </w:rPr>
        <w:t>institución</w:t>
      </w:r>
      <w:r w:rsidRPr="005F6A99">
        <w:rPr>
          <w:rFonts w:eastAsia="Calibri" w:cs="Times New Roman"/>
          <w:bCs/>
          <w:sz w:val="22"/>
          <w:szCs w:val="22"/>
        </w:rPr>
        <w:t xml:space="preserve">, tales como servicios de </w:t>
      </w:r>
      <w:r w:rsidR="00055CD3" w:rsidRPr="005F6A99">
        <w:rPr>
          <w:rFonts w:eastAsia="Calibri" w:cs="Times New Roman"/>
          <w:bCs/>
          <w:sz w:val="22"/>
          <w:szCs w:val="22"/>
        </w:rPr>
        <w:t>tecnologías</w:t>
      </w:r>
      <w:r w:rsidRPr="005F6A99">
        <w:rPr>
          <w:rFonts w:eastAsia="Calibri" w:cs="Times New Roman"/>
          <w:bCs/>
          <w:sz w:val="22"/>
          <w:szCs w:val="22"/>
        </w:rPr>
        <w:t xml:space="preserve"> de </w:t>
      </w:r>
      <w:r w:rsidR="00055CD3" w:rsidRPr="005F6A99">
        <w:rPr>
          <w:rFonts w:eastAsia="Calibri" w:cs="Times New Roman"/>
          <w:bCs/>
          <w:sz w:val="22"/>
          <w:szCs w:val="22"/>
        </w:rPr>
        <w:t>información</w:t>
      </w:r>
      <w:r w:rsidRPr="005F6A99">
        <w:rPr>
          <w:rFonts w:eastAsia="Calibri" w:cs="Times New Roman"/>
          <w:bCs/>
          <w:sz w:val="22"/>
          <w:szCs w:val="22"/>
        </w:rPr>
        <w:t xml:space="preserve"> y comunicaciones, servicios de mantenimiento, servicios de seguridad o servicios de limpieza</w:t>
      </w:r>
    </w:p>
    <w:p w14:paraId="5841AFA8" w14:textId="4A1A1E84" w:rsidR="00A13CDA" w:rsidRPr="005F6A99" w:rsidRDefault="00A13CDA" w:rsidP="00C33638">
      <w:pPr>
        <w:spacing w:before="0" w:after="0"/>
        <w:rPr>
          <w:rFonts w:eastAsia="Calibri" w:cs="Times New Roman"/>
          <w:bCs/>
          <w:sz w:val="22"/>
          <w:szCs w:val="22"/>
        </w:rPr>
      </w:pPr>
    </w:p>
    <w:p w14:paraId="49CD4EDB" w14:textId="6456F9FA" w:rsidR="005A0A89" w:rsidRPr="005F6A99" w:rsidRDefault="005A0A89" w:rsidP="00C33638">
      <w:pPr>
        <w:spacing w:before="0" w:after="0"/>
        <w:rPr>
          <w:rFonts w:eastAsia="Calibri" w:cs="Times New Roman"/>
          <w:bCs/>
          <w:sz w:val="22"/>
          <w:szCs w:val="22"/>
        </w:rPr>
      </w:pPr>
      <w:r w:rsidRPr="005F6A99">
        <w:rPr>
          <w:rFonts w:eastAsia="Calibri" w:cs="Times New Roman"/>
          <w:bCs/>
          <w:sz w:val="22"/>
          <w:szCs w:val="22"/>
        </w:rPr>
        <w:t>De esta manera se pretende avanzar en la mejora de la administración pública en cumplimiento de la normativa aplicable.</w:t>
      </w:r>
    </w:p>
    <w:p w14:paraId="1199494C" w14:textId="77777777" w:rsidR="005A0A89" w:rsidRPr="005F6A99" w:rsidRDefault="005A0A89" w:rsidP="00C33638">
      <w:pPr>
        <w:spacing w:before="0" w:after="0"/>
        <w:rPr>
          <w:rFonts w:eastAsia="Calibri" w:cs="Times New Roman"/>
          <w:b/>
          <w:sz w:val="22"/>
          <w:szCs w:val="22"/>
        </w:rPr>
      </w:pPr>
    </w:p>
    <w:p w14:paraId="373F550C" w14:textId="002CD65F" w:rsidR="005A0A89" w:rsidRPr="005F6A99" w:rsidRDefault="005A0A89" w:rsidP="00C33638">
      <w:pPr>
        <w:spacing w:before="0" w:after="0"/>
        <w:rPr>
          <w:rFonts w:eastAsia="Calibri" w:cs="Times New Roman"/>
          <w:b/>
          <w:sz w:val="22"/>
          <w:szCs w:val="22"/>
        </w:rPr>
      </w:pPr>
      <w:r w:rsidRPr="005F6A99">
        <w:rPr>
          <w:rFonts w:eastAsia="Calibri" w:cs="Times New Roman"/>
          <w:b/>
          <w:sz w:val="22"/>
          <w:szCs w:val="22"/>
        </w:rPr>
        <w:t>14. Información por segmentos</w:t>
      </w:r>
    </w:p>
    <w:p w14:paraId="38F2FC7B" w14:textId="4E3ABA35" w:rsidR="005A0A89" w:rsidRPr="005F6A99" w:rsidRDefault="00FA238D" w:rsidP="00C33638">
      <w:pPr>
        <w:spacing w:before="0" w:after="0"/>
        <w:rPr>
          <w:rFonts w:eastAsia="Calibri" w:cs="Times New Roman"/>
          <w:b/>
          <w:sz w:val="22"/>
          <w:szCs w:val="22"/>
        </w:rPr>
      </w:pPr>
      <w:r w:rsidRPr="005F6A99">
        <w:rPr>
          <w:rFonts w:eastAsia="Calibri" w:cs="Times New Roman"/>
          <w:bCs/>
          <w:sz w:val="22"/>
          <w:szCs w:val="22"/>
        </w:rPr>
        <w:t>Para el periodo que se reporta, no existe información referente a segmentos por revelar.</w:t>
      </w:r>
    </w:p>
    <w:p w14:paraId="16F73ED5" w14:textId="77777777" w:rsidR="00FA238D" w:rsidRPr="005F6A99" w:rsidRDefault="00FA238D" w:rsidP="00C33638">
      <w:pPr>
        <w:spacing w:before="0" w:after="0"/>
        <w:rPr>
          <w:rFonts w:eastAsia="Calibri" w:cs="Times New Roman"/>
          <w:b/>
          <w:sz w:val="22"/>
          <w:szCs w:val="22"/>
        </w:rPr>
      </w:pPr>
    </w:p>
    <w:p w14:paraId="60AAA658" w14:textId="3E066902" w:rsidR="00055CD3" w:rsidRPr="005F6A99" w:rsidRDefault="00055CD3" w:rsidP="00C33638">
      <w:pPr>
        <w:spacing w:before="0" w:after="0"/>
        <w:rPr>
          <w:rFonts w:eastAsia="Calibri" w:cs="Times New Roman"/>
          <w:b/>
          <w:sz w:val="22"/>
          <w:szCs w:val="22"/>
        </w:rPr>
      </w:pPr>
      <w:r w:rsidRPr="005F6A99">
        <w:rPr>
          <w:rFonts w:eastAsia="Calibri" w:cs="Times New Roman"/>
          <w:b/>
          <w:sz w:val="22"/>
          <w:szCs w:val="22"/>
        </w:rPr>
        <w:t>15. Eventos Posteriores al Cierre</w:t>
      </w:r>
    </w:p>
    <w:p w14:paraId="1152C5E7" w14:textId="4AA34F56" w:rsidR="00055CD3" w:rsidRPr="005F6A99" w:rsidRDefault="00055CD3" w:rsidP="00C33638">
      <w:pPr>
        <w:spacing w:before="0" w:after="0"/>
        <w:rPr>
          <w:rFonts w:eastAsia="Calibri" w:cs="Times New Roman"/>
          <w:bCs/>
          <w:sz w:val="22"/>
          <w:szCs w:val="22"/>
        </w:rPr>
      </w:pPr>
      <w:r w:rsidRPr="005F6A99">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346C2F96" w14:textId="77777777" w:rsidR="00055CD3" w:rsidRPr="005F6A99" w:rsidRDefault="00055CD3" w:rsidP="00C33638">
      <w:pPr>
        <w:spacing w:before="0" w:after="0"/>
        <w:rPr>
          <w:rFonts w:eastAsia="Calibri" w:cs="Times New Roman"/>
          <w:b/>
          <w:sz w:val="22"/>
          <w:szCs w:val="22"/>
        </w:rPr>
      </w:pPr>
    </w:p>
    <w:p w14:paraId="3D495680" w14:textId="386129AA" w:rsidR="00C33638" w:rsidRPr="005F6A99" w:rsidRDefault="00055CD3" w:rsidP="00C33638">
      <w:pPr>
        <w:spacing w:before="0" w:after="0"/>
        <w:rPr>
          <w:rFonts w:eastAsia="Calibri" w:cs="Times New Roman"/>
          <w:b/>
          <w:sz w:val="22"/>
          <w:szCs w:val="22"/>
        </w:rPr>
      </w:pPr>
      <w:r w:rsidRPr="005F6A99">
        <w:rPr>
          <w:rFonts w:eastAsia="Calibri" w:cs="Times New Roman"/>
          <w:b/>
          <w:sz w:val="22"/>
          <w:szCs w:val="22"/>
        </w:rPr>
        <w:t>16</w:t>
      </w:r>
      <w:r w:rsidR="00C33638" w:rsidRPr="005F6A99">
        <w:rPr>
          <w:rFonts w:eastAsia="Calibri" w:cs="Times New Roman"/>
          <w:b/>
          <w:sz w:val="22"/>
          <w:szCs w:val="22"/>
        </w:rPr>
        <w:t>.</w:t>
      </w:r>
      <w:r w:rsidR="00C33638" w:rsidRPr="005F6A99">
        <w:rPr>
          <w:rFonts w:eastAsia="Calibri" w:cs="Times New Roman"/>
          <w:b/>
          <w:sz w:val="22"/>
          <w:szCs w:val="22"/>
        </w:rPr>
        <w:tab/>
        <w:t>Partes Relacionadas</w:t>
      </w:r>
    </w:p>
    <w:p w14:paraId="418838B4" w14:textId="77777777" w:rsidR="00290880" w:rsidRPr="005F6A99" w:rsidRDefault="00290880" w:rsidP="00C33638">
      <w:pPr>
        <w:spacing w:before="0" w:after="0"/>
        <w:rPr>
          <w:rFonts w:eastAsia="Calibri" w:cs="Times New Roman"/>
          <w:b/>
          <w:sz w:val="22"/>
          <w:szCs w:val="22"/>
        </w:rPr>
      </w:pPr>
    </w:p>
    <w:p w14:paraId="21F420D1" w14:textId="2CC1ACA6" w:rsidR="00C33638" w:rsidRPr="005F6A99" w:rsidRDefault="00C33638" w:rsidP="00C33638">
      <w:pPr>
        <w:spacing w:before="0" w:after="0"/>
        <w:rPr>
          <w:rFonts w:eastAsia="Calibri" w:cs="Times New Roman"/>
          <w:color w:val="000000"/>
          <w:sz w:val="22"/>
          <w:szCs w:val="22"/>
        </w:rPr>
      </w:pPr>
      <w:r w:rsidRPr="005F6A99">
        <w:rPr>
          <w:rFonts w:eastAsia="Calibri" w:cs="Times New Roman"/>
          <w:color w:val="000000"/>
          <w:sz w:val="22"/>
          <w:szCs w:val="22"/>
        </w:rPr>
        <w:t>No existen partes relacionadas que pudieran ejercer influencia significativa en la toma de decisiones financieras y operativas.</w:t>
      </w:r>
    </w:p>
    <w:p w14:paraId="2D9BBA15" w14:textId="2DC9D5AB" w:rsidR="00C33638" w:rsidRPr="005F6A99" w:rsidRDefault="00C33638" w:rsidP="00C33638">
      <w:pPr>
        <w:spacing w:before="0" w:after="0"/>
        <w:rPr>
          <w:rFonts w:eastAsia="Calibri" w:cs="Times New Roman"/>
          <w:color w:val="000000"/>
          <w:sz w:val="22"/>
          <w:szCs w:val="22"/>
        </w:rPr>
      </w:pPr>
    </w:p>
    <w:p w14:paraId="2E4F7839" w14:textId="7219A040" w:rsidR="00336A02" w:rsidRPr="005F6A99" w:rsidRDefault="00C33638" w:rsidP="005426CA">
      <w:pPr>
        <w:spacing w:before="0" w:after="0"/>
        <w:rPr>
          <w:rFonts w:eastAsia="Calibri" w:cs="Times New Roman"/>
          <w:color w:val="000000"/>
          <w:sz w:val="22"/>
          <w:szCs w:val="22"/>
        </w:rPr>
      </w:pPr>
      <w:r w:rsidRPr="005F6A99">
        <w:rPr>
          <w:rFonts w:eastAsia="Calibri" w:cs="Times New Roman"/>
          <w:color w:val="000000"/>
          <w:sz w:val="22"/>
          <w:szCs w:val="22"/>
        </w:rPr>
        <w:t>Lo anterior, se refiere a que no existen entes o personas que tengan la capacidad de controlar o ejercer dicha influen</w:t>
      </w:r>
      <w:r w:rsidR="00FA336B" w:rsidRPr="005F6A99">
        <w:rPr>
          <w:rFonts w:eastAsia="Calibri" w:cs="Times New Roman"/>
          <w:color w:val="000000"/>
          <w:sz w:val="22"/>
          <w:szCs w:val="22"/>
        </w:rPr>
        <w:t>cia</w:t>
      </w:r>
      <w:r w:rsidR="00FA238D" w:rsidRPr="005F6A99">
        <w:rPr>
          <w:rFonts w:eastAsia="Calibri" w:cs="Times New Roman"/>
          <w:color w:val="000000"/>
          <w:sz w:val="22"/>
          <w:szCs w:val="22"/>
        </w:rPr>
        <w:t xml:space="preserve"> en la Administración Pública del Gobierno del Estado de Michoacán.</w:t>
      </w:r>
    </w:p>
    <w:p w14:paraId="3B2A42B5" w14:textId="5F4DF6BE" w:rsidR="00055CD3" w:rsidRPr="005F6A99" w:rsidRDefault="00055CD3" w:rsidP="005426CA">
      <w:pPr>
        <w:spacing w:before="0" w:after="0"/>
        <w:rPr>
          <w:rFonts w:eastAsia="Calibri" w:cs="Times New Roman"/>
          <w:color w:val="000000"/>
          <w:sz w:val="22"/>
          <w:szCs w:val="22"/>
        </w:rPr>
      </w:pPr>
    </w:p>
    <w:p w14:paraId="4CFFB176" w14:textId="079864C4" w:rsidR="00055CD3" w:rsidRPr="005F6A99" w:rsidRDefault="00055CD3" w:rsidP="005426CA">
      <w:pPr>
        <w:spacing w:before="0" w:after="0"/>
        <w:rPr>
          <w:rFonts w:eastAsia="Calibri" w:cs="Times New Roman"/>
          <w:b/>
          <w:bCs/>
          <w:color w:val="000000"/>
          <w:sz w:val="22"/>
          <w:szCs w:val="22"/>
        </w:rPr>
      </w:pPr>
      <w:r w:rsidRPr="005F6A99">
        <w:rPr>
          <w:rFonts w:eastAsia="Calibri" w:cs="Times New Roman"/>
          <w:b/>
          <w:bCs/>
          <w:color w:val="000000"/>
          <w:sz w:val="22"/>
          <w:szCs w:val="22"/>
        </w:rPr>
        <w:t>17. Responsabilidad sobre la presentación razonable de la información contable</w:t>
      </w:r>
    </w:p>
    <w:p w14:paraId="7C5E5D4F" w14:textId="4B2EA30C" w:rsidR="00055CD3" w:rsidRPr="005F6A99" w:rsidRDefault="00055CD3" w:rsidP="005426CA">
      <w:pPr>
        <w:spacing w:before="0" w:after="0"/>
        <w:rPr>
          <w:rFonts w:eastAsia="Calibri" w:cs="Times New Roman"/>
          <w:b/>
          <w:bCs/>
          <w:color w:val="000000"/>
          <w:sz w:val="22"/>
          <w:szCs w:val="22"/>
        </w:rPr>
      </w:pPr>
    </w:p>
    <w:p w14:paraId="5731ED3B" w14:textId="563E290F" w:rsidR="00055CD3" w:rsidRPr="00055CD3" w:rsidRDefault="00055CD3" w:rsidP="005426CA">
      <w:pPr>
        <w:spacing w:before="0" w:after="0"/>
        <w:rPr>
          <w:rFonts w:eastAsia="Calibri" w:cs="Times New Roman"/>
          <w:color w:val="000000"/>
          <w:sz w:val="22"/>
          <w:szCs w:val="22"/>
        </w:rPr>
      </w:pPr>
      <w:r w:rsidRPr="005F6A99">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5B9EC9B5" w14:textId="75ACFD3E" w:rsidR="00FA336B" w:rsidRDefault="00FA336B" w:rsidP="005426CA">
      <w:pPr>
        <w:spacing w:before="0" w:after="0"/>
        <w:rPr>
          <w:rFonts w:eastAsia="Calibri" w:cs="Times New Roman"/>
          <w:color w:val="000000"/>
          <w:sz w:val="22"/>
          <w:szCs w:val="22"/>
        </w:rPr>
      </w:pPr>
    </w:p>
    <w:p w14:paraId="087C2139" w14:textId="1D133830" w:rsidR="00FA336B" w:rsidRDefault="00FA336B" w:rsidP="005426CA">
      <w:pPr>
        <w:spacing w:before="0" w:after="0"/>
        <w:rPr>
          <w:rFonts w:eastAsia="Calibri" w:cs="Times New Roman"/>
          <w:color w:val="000000"/>
          <w:sz w:val="22"/>
          <w:szCs w:val="22"/>
        </w:rPr>
      </w:pPr>
    </w:p>
    <w:p w14:paraId="055F50EC" w14:textId="43A8C890" w:rsidR="00FA336B" w:rsidRDefault="00FA336B" w:rsidP="005426CA">
      <w:pPr>
        <w:spacing w:before="0" w:after="0"/>
        <w:rPr>
          <w:rFonts w:eastAsia="Calibri" w:cs="Times New Roman"/>
          <w:color w:val="000000"/>
          <w:sz w:val="22"/>
          <w:szCs w:val="22"/>
        </w:rPr>
      </w:pPr>
    </w:p>
    <w:p w14:paraId="3D232211" w14:textId="07DEB348" w:rsidR="00E7156D" w:rsidRDefault="00E7156D" w:rsidP="005426CA">
      <w:pPr>
        <w:spacing w:before="0" w:after="0"/>
        <w:rPr>
          <w:rFonts w:eastAsia="Calibri" w:cs="Times New Roman"/>
          <w:color w:val="000000"/>
          <w:sz w:val="22"/>
          <w:szCs w:val="22"/>
        </w:rPr>
      </w:pPr>
    </w:p>
    <w:p w14:paraId="0590811D" w14:textId="13B5F29B" w:rsidR="00E7156D" w:rsidRDefault="00E7156D" w:rsidP="005426CA">
      <w:pPr>
        <w:spacing w:before="0" w:after="0"/>
        <w:rPr>
          <w:rFonts w:eastAsia="Calibri" w:cs="Times New Roman"/>
          <w:color w:val="000000"/>
          <w:sz w:val="22"/>
          <w:szCs w:val="22"/>
        </w:rPr>
      </w:pPr>
    </w:p>
    <w:p w14:paraId="4628D935" w14:textId="2821A93C" w:rsidR="00E7156D" w:rsidRDefault="00E7156D" w:rsidP="005426CA">
      <w:pPr>
        <w:spacing w:before="0" w:after="0"/>
        <w:rPr>
          <w:rFonts w:eastAsia="Calibri" w:cs="Times New Roman"/>
          <w:color w:val="000000"/>
          <w:sz w:val="22"/>
          <w:szCs w:val="22"/>
        </w:rPr>
      </w:pPr>
    </w:p>
    <w:p w14:paraId="2E663A9D" w14:textId="22E36E61" w:rsidR="00E7156D" w:rsidRDefault="00E7156D" w:rsidP="005426CA">
      <w:pPr>
        <w:spacing w:before="0" w:after="0"/>
        <w:rPr>
          <w:rFonts w:eastAsia="Calibri" w:cs="Times New Roman"/>
          <w:color w:val="000000"/>
          <w:sz w:val="22"/>
          <w:szCs w:val="22"/>
        </w:rPr>
      </w:pPr>
    </w:p>
    <w:p w14:paraId="0A0E54CF" w14:textId="62D84D4F" w:rsidR="00E7156D" w:rsidRDefault="00E7156D" w:rsidP="005426CA">
      <w:pPr>
        <w:spacing w:before="0" w:after="0"/>
        <w:rPr>
          <w:rFonts w:eastAsia="Calibri" w:cs="Times New Roman"/>
          <w:color w:val="000000"/>
          <w:sz w:val="22"/>
          <w:szCs w:val="22"/>
        </w:rPr>
      </w:pPr>
    </w:p>
    <w:p w14:paraId="1F1AADD0" w14:textId="5D8ABD6E" w:rsidR="00E7156D" w:rsidRDefault="00E7156D" w:rsidP="005426CA">
      <w:pPr>
        <w:spacing w:before="0" w:after="0"/>
        <w:rPr>
          <w:rFonts w:eastAsia="Calibri" w:cs="Times New Roman"/>
          <w:color w:val="000000"/>
          <w:sz w:val="22"/>
          <w:szCs w:val="22"/>
        </w:rPr>
      </w:pPr>
    </w:p>
    <w:p w14:paraId="2E921FFF" w14:textId="36E236DB" w:rsidR="00E7156D" w:rsidRDefault="00E7156D" w:rsidP="005426CA">
      <w:pPr>
        <w:spacing w:before="0" w:after="0"/>
        <w:rPr>
          <w:rFonts w:eastAsia="Calibri" w:cs="Times New Roman"/>
          <w:color w:val="000000"/>
          <w:sz w:val="22"/>
          <w:szCs w:val="22"/>
        </w:rPr>
      </w:pPr>
    </w:p>
    <w:p w14:paraId="1F5F3266" w14:textId="221D276F" w:rsidR="00E7156D" w:rsidRDefault="00E7156D" w:rsidP="005426CA">
      <w:pPr>
        <w:spacing w:before="0" w:after="0"/>
        <w:rPr>
          <w:rFonts w:eastAsia="Calibri" w:cs="Times New Roman"/>
          <w:color w:val="000000"/>
          <w:sz w:val="22"/>
          <w:szCs w:val="22"/>
        </w:rPr>
      </w:pPr>
    </w:p>
    <w:p w14:paraId="537E7F86" w14:textId="36EF2C58" w:rsidR="00E7156D" w:rsidRDefault="00E7156D" w:rsidP="005426CA">
      <w:pPr>
        <w:spacing w:before="0" w:after="0"/>
        <w:rPr>
          <w:rFonts w:eastAsia="Calibri" w:cs="Times New Roman"/>
          <w:color w:val="000000"/>
          <w:sz w:val="22"/>
          <w:szCs w:val="22"/>
        </w:rPr>
      </w:pPr>
    </w:p>
    <w:p w14:paraId="1084FEB1" w14:textId="592B9428" w:rsidR="00E7156D" w:rsidRDefault="00E7156D" w:rsidP="005426CA">
      <w:pPr>
        <w:spacing w:before="0" w:after="0"/>
        <w:rPr>
          <w:rFonts w:eastAsia="Calibri" w:cs="Times New Roman"/>
          <w:color w:val="000000"/>
          <w:sz w:val="22"/>
          <w:szCs w:val="22"/>
        </w:rPr>
      </w:pPr>
    </w:p>
    <w:p w14:paraId="77DFA3C9" w14:textId="599B4D61" w:rsidR="00E7156D" w:rsidRDefault="00E7156D" w:rsidP="005426CA">
      <w:pPr>
        <w:spacing w:before="0" w:after="0"/>
        <w:rPr>
          <w:rFonts w:eastAsia="Calibri" w:cs="Times New Roman"/>
          <w:color w:val="000000"/>
          <w:sz w:val="22"/>
          <w:szCs w:val="22"/>
        </w:rPr>
      </w:pPr>
    </w:p>
    <w:p w14:paraId="35F469B7" w14:textId="7C886566" w:rsidR="00E7156D" w:rsidRDefault="00E7156D" w:rsidP="005426CA">
      <w:pPr>
        <w:spacing w:before="0" w:after="0"/>
        <w:rPr>
          <w:rFonts w:eastAsia="Calibri" w:cs="Times New Roman"/>
          <w:color w:val="000000"/>
          <w:sz w:val="22"/>
          <w:szCs w:val="22"/>
        </w:rPr>
      </w:pPr>
    </w:p>
    <w:p w14:paraId="17A6E4AE" w14:textId="789FACF7" w:rsidR="00E7156D" w:rsidRDefault="00E7156D" w:rsidP="005426CA">
      <w:pPr>
        <w:spacing w:before="0" w:after="0"/>
        <w:rPr>
          <w:rFonts w:eastAsia="Calibri" w:cs="Times New Roman"/>
          <w:color w:val="000000"/>
          <w:sz w:val="22"/>
          <w:szCs w:val="22"/>
        </w:rPr>
      </w:pPr>
    </w:p>
    <w:p w14:paraId="20BB840E" w14:textId="77777777" w:rsidR="00E7156D" w:rsidRDefault="00E7156D" w:rsidP="005426CA">
      <w:pPr>
        <w:spacing w:before="0" w:after="0"/>
        <w:rPr>
          <w:rFonts w:eastAsia="Calibri" w:cs="Times New Roman"/>
          <w:color w:val="000000"/>
          <w:sz w:val="22"/>
          <w:szCs w:val="22"/>
        </w:rPr>
      </w:pPr>
    </w:p>
    <w:p w14:paraId="0FDA4415" w14:textId="22B2D0D1" w:rsidR="00FA336B" w:rsidRPr="005426CA" w:rsidRDefault="00FA336B" w:rsidP="005426CA">
      <w:pPr>
        <w:spacing w:before="0" w:after="0"/>
        <w:rPr>
          <w:rFonts w:eastAsia="Calibri" w:cs="Times New Roman"/>
          <w:color w:val="000000"/>
          <w:sz w:val="22"/>
          <w:szCs w:val="22"/>
        </w:rPr>
      </w:pPr>
    </w:p>
    <w:p w14:paraId="2E187FE7" w14:textId="7CEF9F06" w:rsidR="00336A02" w:rsidRDefault="00336A02" w:rsidP="00997201">
      <w:pPr>
        <w:rPr>
          <w:color w:val="FF0000"/>
        </w:rPr>
      </w:pPr>
    </w:p>
    <w:p w14:paraId="388239CB" w14:textId="36DEA883" w:rsidR="00282BA3" w:rsidRDefault="00282BA3" w:rsidP="00F85713">
      <w:pPr>
        <w:rPr>
          <w:noProof/>
        </w:rPr>
      </w:pPr>
      <w:bookmarkStart w:id="2" w:name="_Toc480915643"/>
      <w:bookmarkEnd w:id="2"/>
    </w:p>
    <w:sectPr w:rsidR="00282BA3" w:rsidSect="00CB1741">
      <w:headerReference w:type="even" r:id="rId52"/>
      <w:headerReference w:type="default" r:id="rId53"/>
      <w:footerReference w:type="default" r:id="rId54"/>
      <w:headerReference w:type="first" r:id="rId55"/>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3F058" w14:textId="77777777" w:rsidR="00613CA3" w:rsidRDefault="00613CA3" w:rsidP="006A5067">
      <w:pPr>
        <w:spacing w:before="0" w:after="0" w:line="240" w:lineRule="auto"/>
      </w:pPr>
      <w:r>
        <w:separator/>
      </w:r>
    </w:p>
  </w:endnote>
  <w:endnote w:type="continuationSeparator" w:id="0">
    <w:p w14:paraId="25342641" w14:textId="77777777" w:rsidR="00613CA3" w:rsidRDefault="00613CA3"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545704"/>
      <w:docPartObj>
        <w:docPartGallery w:val="Page Numbers (Bottom of Page)"/>
        <w:docPartUnique/>
      </w:docPartObj>
    </w:sdtPr>
    <w:sdtEndPr/>
    <w:sdtContent>
      <w:p w14:paraId="5BFF0BAC" w14:textId="3900A4D2" w:rsidR="00CF5776" w:rsidRDefault="006D4F73">
        <w:pPr>
          <w:pStyle w:val="Piedepgina"/>
          <w:jc w:val="center"/>
        </w:pPr>
        <w:r>
          <w:fldChar w:fldCharType="begin"/>
        </w:r>
        <w:r>
          <w:instrText>PAGE   \* MERGEFORMAT</w:instrText>
        </w:r>
        <w:r>
          <w:fldChar w:fldCharType="separate"/>
        </w:r>
        <w:r w:rsidR="005F6A99">
          <w:rPr>
            <w:noProof/>
          </w:rPr>
          <w:t>25</w:t>
        </w:r>
        <w:r>
          <w:fldChar w:fldCharType="end"/>
        </w:r>
      </w:p>
      <w:p w14:paraId="52C352FB" w14:textId="751E8667" w:rsidR="006D4F73" w:rsidRDefault="00CF5776">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E1379" w14:textId="77777777" w:rsidR="00613CA3" w:rsidRDefault="00613CA3" w:rsidP="006A5067">
      <w:pPr>
        <w:spacing w:before="0" w:after="0" w:line="240" w:lineRule="auto"/>
      </w:pPr>
      <w:bookmarkStart w:id="0" w:name="_Hlk71019289"/>
      <w:bookmarkEnd w:id="0"/>
      <w:r>
        <w:separator/>
      </w:r>
    </w:p>
  </w:footnote>
  <w:footnote w:type="continuationSeparator" w:id="0">
    <w:p w14:paraId="7617029F" w14:textId="77777777" w:rsidR="00613CA3" w:rsidRDefault="00613CA3"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FF45A" w14:textId="54FA492F" w:rsidR="00DC3291" w:rsidRDefault="00613CA3">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BCA07" w14:textId="16CF1F36" w:rsidR="006D4F73" w:rsidRDefault="005E18AB">
    <w:pPr>
      <w:pStyle w:val="Encabezado"/>
    </w:pPr>
    <w:r>
      <w:rPr>
        <w:noProof/>
        <w:lang w:val="es-MX" w:eastAsia="es-MX"/>
      </w:rPr>
      <w:drawing>
        <wp:anchor distT="0" distB="0" distL="114300" distR="114300" simplePos="0" relativeHeight="251661312" behindDoc="1" locked="0" layoutInCell="1" allowOverlap="1" wp14:anchorId="391091CD" wp14:editId="6CFF2F59">
          <wp:simplePos x="0" y="0"/>
          <wp:positionH relativeFrom="page">
            <wp:posOffset>114300</wp:posOffset>
          </wp:positionH>
          <wp:positionV relativeFrom="paragraph">
            <wp:posOffset>-34290</wp:posOffset>
          </wp:positionV>
          <wp:extent cx="7508875" cy="63563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7508875" cy="635635"/>
                  </a:xfrm>
                  <a:prstGeom prst="rect">
                    <a:avLst/>
                  </a:prstGeom>
                </pic:spPr>
              </pic:pic>
            </a:graphicData>
          </a:graphic>
          <wp14:sizeRelH relativeFrom="margin">
            <wp14:pctWidth>0</wp14:pctWidth>
          </wp14:sizeRelH>
          <wp14:sizeRelV relativeFrom="margin">
            <wp14:pctHeight>0</wp14:pctHeight>
          </wp14:sizeRelV>
        </wp:anchor>
      </w:drawing>
    </w:r>
    <w:r w:rsidR="00613CA3">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22E4" w14:textId="000BA79E" w:rsidR="006D4F73" w:rsidRDefault="00613CA3">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7"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D2500D"/>
    <w:multiLevelType w:val="hybridMultilevel"/>
    <w:tmpl w:val="9D287E1A"/>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FF2DB1"/>
    <w:multiLevelType w:val="hybridMultilevel"/>
    <w:tmpl w:val="7D76891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7"/>
  </w:num>
  <w:num w:numId="3">
    <w:abstractNumId w:val="8"/>
  </w:num>
  <w:num w:numId="4">
    <w:abstractNumId w:val="6"/>
  </w:num>
  <w:num w:numId="5">
    <w:abstractNumId w:val="14"/>
  </w:num>
  <w:num w:numId="6">
    <w:abstractNumId w:val="12"/>
  </w:num>
  <w:num w:numId="7">
    <w:abstractNumId w:val="10"/>
  </w:num>
  <w:num w:numId="8">
    <w:abstractNumId w:val="5"/>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2">
    <w:abstractNumId w:val="16"/>
  </w:num>
  <w:num w:numId="13">
    <w:abstractNumId w:val="4"/>
  </w:num>
  <w:num w:numId="14">
    <w:abstractNumId w:val="0"/>
  </w:num>
  <w:num w:numId="15">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1"/>
  </w:num>
  <w:num w:numId="19">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7E9"/>
    <w:rsid w:val="00024B0F"/>
    <w:rsid w:val="00024E79"/>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E98"/>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B09"/>
    <w:rsid w:val="000C1B32"/>
    <w:rsid w:val="000C20C5"/>
    <w:rsid w:val="000C243A"/>
    <w:rsid w:val="000C253A"/>
    <w:rsid w:val="000C2937"/>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B40"/>
    <w:rsid w:val="000E5CD3"/>
    <w:rsid w:val="000E5E53"/>
    <w:rsid w:val="000E62CA"/>
    <w:rsid w:val="000E6351"/>
    <w:rsid w:val="000E73D8"/>
    <w:rsid w:val="000E79E2"/>
    <w:rsid w:val="000E7B36"/>
    <w:rsid w:val="000E7D83"/>
    <w:rsid w:val="000E7F3B"/>
    <w:rsid w:val="000F05E1"/>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140B"/>
    <w:rsid w:val="001217D6"/>
    <w:rsid w:val="00121C07"/>
    <w:rsid w:val="00121EF0"/>
    <w:rsid w:val="00122BC2"/>
    <w:rsid w:val="00122BE9"/>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543"/>
    <w:rsid w:val="001B26BD"/>
    <w:rsid w:val="001B310B"/>
    <w:rsid w:val="001B37D4"/>
    <w:rsid w:val="001B411C"/>
    <w:rsid w:val="001B4576"/>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F4E"/>
    <w:rsid w:val="00214439"/>
    <w:rsid w:val="00214959"/>
    <w:rsid w:val="00215A09"/>
    <w:rsid w:val="0021629A"/>
    <w:rsid w:val="00216674"/>
    <w:rsid w:val="002169C3"/>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B3B"/>
    <w:rsid w:val="00264B96"/>
    <w:rsid w:val="00264EF3"/>
    <w:rsid w:val="00264F9D"/>
    <w:rsid w:val="002651FE"/>
    <w:rsid w:val="0026525B"/>
    <w:rsid w:val="00265404"/>
    <w:rsid w:val="00265FE6"/>
    <w:rsid w:val="00266589"/>
    <w:rsid w:val="002665A9"/>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4383"/>
    <w:rsid w:val="0027478B"/>
    <w:rsid w:val="002748F5"/>
    <w:rsid w:val="002752FE"/>
    <w:rsid w:val="00275326"/>
    <w:rsid w:val="0027535F"/>
    <w:rsid w:val="00280564"/>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5D"/>
    <w:rsid w:val="00312817"/>
    <w:rsid w:val="00312C2D"/>
    <w:rsid w:val="0031345A"/>
    <w:rsid w:val="00313662"/>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AB6"/>
    <w:rsid w:val="003A60BF"/>
    <w:rsid w:val="003A6CFE"/>
    <w:rsid w:val="003A6DE7"/>
    <w:rsid w:val="003A7697"/>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2D2E"/>
    <w:rsid w:val="00402F4C"/>
    <w:rsid w:val="004031B7"/>
    <w:rsid w:val="004037C9"/>
    <w:rsid w:val="00403C11"/>
    <w:rsid w:val="00404038"/>
    <w:rsid w:val="004043D2"/>
    <w:rsid w:val="0040484D"/>
    <w:rsid w:val="004049FC"/>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A95"/>
    <w:rsid w:val="00447E3B"/>
    <w:rsid w:val="0045014C"/>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A4A"/>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48E"/>
    <w:rsid w:val="00466C92"/>
    <w:rsid w:val="004676CF"/>
    <w:rsid w:val="00467BAB"/>
    <w:rsid w:val="00467C26"/>
    <w:rsid w:val="00467D19"/>
    <w:rsid w:val="00467F06"/>
    <w:rsid w:val="00470096"/>
    <w:rsid w:val="00470214"/>
    <w:rsid w:val="00470552"/>
    <w:rsid w:val="0047073B"/>
    <w:rsid w:val="00470CDC"/>
    <w:rsid w:val="00470E67"/>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A4D"/>
    <w:rsid w:val="00551D18"/>
    <w:rsid w:val="00551F98"/>
    <w:rsid w:val="00552156"/>
    <w:rsid w:val="005522F6"/>
    <w:rsid w:val="005523B8"/>
    <w:rsid w:val="0055250C"/>
    <w:rsid w:val="005527D0"/>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5608"/>
    <w:rsid w:val="005E56F9"/>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A9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A3"/>
    <w:rsid w:val="00613F2F"/>
    <w:rsid w:val="0061447C"/>
    <w:rsid w:val="0061462D"/>
    <w:rsid w:val="00615252"/>
    <w:rsid w:val="00615C13"/>
    <w:rsid w:val="006160D8"/>
    <w:rsid w:val="0061630F"/>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B48"/>
    <w:rsid w:val="006262F5"/>
    <w:rsid w:val="00626457"/>
    <w:rsid w:val="00626AEE"/>
    <w:rsid w:val="00626AF8"/>
    <w:rsid w:val="00626D1F"/>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AF"/>
    <w:rsid w:val="0069561F"/>
    <w:rsid w:val="00695662"/>
    <w:rsid w:val="006957E3"/>
    <w:rsid w:val="00696197"/>
    <w:rsid w:val="00696270"/>
    <w:rsid w:val="00697AC1"/>
    <w:rsid w:val="006A0031"/>
    <w:rsid w:val="006A0403"/>
    <w:rsid w:val="006A04B6"/>
    <w:rsid w:val="006A0784"/>
    <w:rsid w:val="006A0B32"/>
    <w:rsid w:val="006A0EDC"/>
    <w:rsid w:val="006A224A"/>
    <w:rsid w:val="006A2374"/>
    <w:rsid w:val="006A3493"/>
    <w:rsid w:val="006A4A4F"/>
    <w:rsid w:val="006A4E02"/>
    <w:rsid w:val="006A4F6B"/>
    <w:rsid w:val="006A5067"/>
    <w:rsid w:val="006A542E"/>
    <w:rsid w:val="006A54F9"/>
    <w:rsid w:val="006A5A83"/>
    <w:rsid w:val="006A692A"/>
    <w:rsid w:val="006A7619"/>
    <w:rsid w:val="006A7A42"/>
    <w:rsid w:val="006A7BF0"/>
    <w:rsid w:val="006B0003"/>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311"/>
    <w:rsid w:val="006D4329"/>
    <w:rsid w:val="006D432F"/>
    <w:rsid w:val="006D471C"/>
    <w:rsid w:val="006D4A50"/>
    <w:rsid w:val="006D4F73"/>
    <w:rsid w:val="006D4F7D"/>
    <w:rsid w:val="006D53E0"/>
    <w:rsid w:val="006D53F0"/>
    <w:rsid w:val="006D5E1A"/>
    <w:rsid w:val="006D6102"/>
    <w:rsid w:val="006D622D"/>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878"/>
    <w:rsid w:val="0082089C"/>
    <w:rsid w:val="00820952"/>
    <w:rsid w:val="00820B8B"/>
    <w:rsid w:val="00820F57"/>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4D6"/>
    <w:rsid w:val="0085658E"/>
    <w:rsid w:val="008566F5"/>
    <w:rsid w:val="00856AEA"/>
    <w:rsid w:val="00856C0F"/>
    <w:rsid w:val="00856CE9"/>
    <w:rsid w:val="0085719A"/>
    <w:rsid w:val="0085747A"/>
    <w:rsid w:val="008578CF"/>
    <w:rsid w:val="00857C30"/>
    <w:rsid w:val="00860271"/>
    <w:rsid w:val="00860C06"/>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4B5"/>
    <w:rsid w:val="00985AA1"/>
    <w:rsid w:val="00985CE8"/>
    <w:rsid w:val="009863D9"/>
    <w:rsid w:val="009868F1"/>
    <w:rsid w:val="00987977"/>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439"/>
    <w:rsid w:val="009D65E4"/>
    <w:rsid w:val="009D7027"/>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F48"/>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792"/>
    <w:rsid w:val="00A45C40"/>
    <w:rsid w:val="00A47888"/>
    <w:rsid w:val="00A479A6"/>
    <w:rsid w:val="00A47A3D"/>
    <w:rsid w:val="00A47A3E"/>
    <w:rsid w:val="00A47BB4"/>
    <w:rsid w:val="00A47C50"/>
    <w:rsid w:val="00A47CFB"/>
    <w:rsid w:val="00A47F26"/>
    <w:rsid w:val="00A503DF"/>
    <w:rsid w:val="00A50F3C"/>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99B"/>
    <w:rsid w:val="00AB02F3"/>
    <w:rsid w:val="00AB0401"/>
    <w:rsid w:val="00AB0C7D"/>
    <w:rsid w:val="00AB0D15"/>
    <w:rsid w:val="00AB10BD"/>
    <w:rsid w:val="00AB11AF"/>
    <w:rsid w:val="00AB178D"/>
    <w:rsid w:val="00AB2133"/>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EB"/>
    <w:rsid w:val="00AF4133"/>
    <w:rsid w:val="00AF4BCC"/>
    <w:rsid w:val="00AF4F6A"/>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E68"/>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D84"/>
    <w:rsid w:val="00C567AE"/>
    <w:rsid w:val="00C567C6"/>
    <w:rsid w:val="00C5685C"/>
    <w:rsid w:val="00C57288"/>
    <w:rsid w:val="00C5745B"/>
    <w:rsid w:val="00C57A20"/>
    <w:rsid w:val="00C57C5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6007"/>
    <w:rsid w:val="00C86027"/>
    <w:rsid w:val="00C867A9"/>
    <w:rsid w:val="00C8681F"/>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50BF"/>
    <w:rsid w:val="00CC58AE"/>
    <w:rsid w:val="00CC5C12"/>
    <w:rsid w:val="00CC6714"/>
    <w:rsid w:val="00CC6B19"/>
    <w:rsid w:val="00CC6C5C"/>
    <w:rsid w:val="00CC737F"/>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36C"/>
    <w:rsid w:val="00D616A1"/>
    <w:rsid w:val="00D61A1B"/>
    <w:rsid w:val="00D61D98"/>
    <w:rsid w:val="00D62AEC"/>
    <w:rsid w:val="00D62C4D"/>
    <w:rsid w:val="00D630CD"/>
    <w:rsid w:val="00D631FE"/>
    <w:rsid w:val="00D63400"/>
    <w:rsid w:val="00D639A4"/>
    <w:rsid w:val="00D639B5"/>
    <w:rsid w:val="00D64A78"/>
    <w:rsid w:val="00D64FCE"/>
    <w:rsid w:val="00D650CA"/>
    <w:rsid w:val="00D6510D"/>
    <w:rsid w:val="00D6589B"/>
    <w:rsid w:val="00D65A9F"/>
    <w:rsid w:val="00D65C19"/>
    <w:rsid w:val="00D66785"/>
    <w:rsid w:val="00D66A38"/>
    <w:rsid w:val="00D66D76"/>
    <w:rsid w:val="00D6720E"/>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569"/>
    <w:rsid w:val="00D75759"/>
    <w:rsid w:val="00D75AAC"/>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B5C"/>
    <w:rsid w:val="00F60F87"/>
    <w:rsid w:val="00F611DC"/>
    <w:rsid w:val="00F616F7"/>
    <w:rsid w:val="00F619DF"/>
    <w:rsid w:val="00F61D97"/>
    <w:rsid w:val="00F623F4"/>
    <w:rsid w:val="00F625DC"/>
    <w:rsid w:val="00F626EE"/>
    <w:rsid w:val="00F62709"/>
    <w:rsid w:val="00F62822"/>
    <w:rsid w:val="00F62A31"/>
    <w:rsid w:val="00F62A71"/>
    <w:rsid w:val="00F62B6B"/>
    <w:rsid w:val="00F62C59"/>
    <w:rsid w:val="00F62CC8"/>
    <w:rsid w:val="00F62DF8"/>
    <w:rsid w:val="00F62EE5"/>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5"/>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5.jpe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F82D9A-7234-414B-B36B-C02C5B30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59</Pages>
  <Words>8264</Words>
  <Characters>45454</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53611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Rosy</cp:lastModifiedBy>
  <cp:revision>6</cp:revision>
  <cp:lastPrinted>2022-11-11T21:05:00Z</cp:lastPrinted>
  <dcterms:created xsi:type="dcterms:W3CDTF">2022-11-11T18:29:00Z</dcterms:created>
  <dcterms:modified xsi:type="dcterms:W3CDTF">2022-11-25T17:29:00Z</dcterms:modified>
</cp:coreProperties>
</file>